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808E" w14:textId="2456985C" w:rsidR="006146DC" w:rsidRPr="0031543F" w:rsidRDefault="00533331" w:rsidP="006146DC">
      <w:pPr>
        <w:ind w:left="5387"/>
        <w:jc w:val="right"/>
        <w:rPr>
          <w:rFonts w:eastAsia="Times New Roman" w:cs="Arial"/>
          <w:i/>
          <w:lang w:eastAsia="fr-FR"/>
        </w:rPr>
      </w:pPr>
      <w:r w:rsidRPr="0031543F">
        <w:rPr>
          <w:rFonts w:eastAsia="Times New Roman" w:cs="Arial"/>
          <w:i/>
          <w:lang w:eastAsia="fr-FR"/>
        </w:rPr>
        <w:t>À</w:t>
      </w:r>
      <w:r w:rsidR="006146DC" w:rsidRPr="0031543F">
        <w:rPr>
          <w:rFonts w:eastAsia="Times New Roman" w:cs="Arial"/>
          <w:i/>
          <w:lang w:eastAsia="fr-FR"/>
        </w:rPr>
        <w:t xml:space="preserve"> </w:t>
      </w:r>
      <w:r w:rsidR="00C010BB">
        <w:rPr>
          <w:rFonts w:eastAsia="Times New Roman" w:cs="Arial"/>
          <w:i/>
          <w:lang w:eastAsia="fr-FR"/>
        </w:rPr>
        <w:fldChar w:fldCharType="begin">
          <w:ffData>
            <w:name w:val="Texte34"/>
            <w:enabled/>
            <w:calcOnExit w:val="0"/>
            <w:textInput/>
          </w:ffData>
        </w:fldChar>
      </w:r>
      <w:bookmarkStart w:id="0" w:name="Texte34"/>
      <w:r w:rsidR="00C010BB">
        <w:rPr>
          <w:rFonts w:eastAsia="Times New Roman" w:cs="Arial"/>
          <w:i/>
          <w:lang w:eastAsia="fr-FR"/>
        </w:rPr>
        <w:instrText xml:space="preserve"> FORMTEXT </w:instrText>
      </w:r>
      <w:r w:rsidR="00C010BB">
        <w:rPr>
          <w:rFonts w:eastAsia="Times New Roman" w:cs="Arial"/>
          <w:i/>
          <w:lang w:eastAsia="fr-FR"/>
        </w:rPr>
      </w:r>
      <w:r w:rsidR="00C010BB">
        <w:rPr>
          <w:rFonts w:eastAsia="Times New Roman" w:cs="Arial"/>
          <w:i/>
          <w:lang w:eastAsia="fr-FR"/>
        </w:rPr>
        <w:fldChar w:fldCharType="separate"/>
      </w:r>
      <w:r w:rsidR="00C010BB">
        <w:rPr>
          <w:rFonts w:eastAsia="Times New Roman" w:cs="Arial"/>
          <w:i/>
          <w:noProof/>
          <w:lang w:eastAsia="fr-FR"/>
        </w:rPr>
        <w:t> </w:t>
      </w:r>
      <w:r w:rsidR="00C010BB">
        <w:rPr>
          <w:rFonts w:eastAsia="Times New Roman" w:cs="Arial"/>
          <w:i/>
          <w:noProof/>
          <w:lang w:eastAsia="fr-FR"/>
        </w:rPr>
        <w:t> </w:t>
      </w:r>
      <w:r w:rsidR="00C010BB">
        <w:rPr>
          <w:rFonts w:eastAsia="Times New Roman" w:cs="Arial"/>
          <w:i/>
          <w:noProof/>
          <w:lang w:eastAsia="fr-FR"/>
        </w:rPr>
        <w:t> </w:t>
      </w:r>
      <w:r w:rsidR="00C010BB">
        <w:rPr>
          <w:rFonts w:eastAsia="Times New Roman" w:cs="Arial"/>
          <w:i/>
          <w:noProof/>
          <w:lang w:eastAsia="fr-FR"/>
        </w:rPr>
        <w:t> </w:t>
      </w:r>
      <w:r w:rsidR="00C010BB">
        <w:rPr>
          <w:rFonts w:eastAsia="Times New Roman" w:cs="Arial"/>
          <w:i/>
          <w:noProof/>
          <w:lang w:eastAsia="fr-FR"/>
        </w:rPr>
        <w:t> </w:t>
      </w:r>
      <w:r w:rsidR="00C010BB">
        <w:rPr>
          <w:rFonts w:eastAsia="Times New Roman" w:cs="Arial"/>
          <w:i/>
          <w:lang w:eastAsia="fr-FR"/>
        </w:rPr>
        <w:fldChar w:fldCharType="end"/>
      </w:r>
      <w:bookmarkEnd w:id="0"/>
    </w:p>
    <w:p w14:paraId="7CC6CB75" w14:textId="77777777" w:rsidR="006146DC" w:rsidRPr="0031543F" w:rsidRDefault="006146DC" w:rsidP="006146DC">
      <w:pPr>
        <w:jc w:val="left"/>
        <w:rPr>
          <w:rFonts w:eastAsia="Times New Roman" w:cs="Arial"/>
          <w:u w:val="single"/>
          <w:lang w:eastAsia="fr-FR"/>
        </w:rPr>
      </w:pPr>
    </w:p>
    <w:p w14:paraId="71783BB7" w14:textId="77777777" w:rsidR="006146DC" w:rsidRPr="0031543F" w:rsidRDefault="006146DC" w:rsidP="006146DC">
      <w:pPr>
        <w:jc w:val="left"/>
        <w:rPr>
          <w:rFonts w:eastAsia="Times New Roman" w:cs="Arial"/>
          <w:b/>
          <w:bCs/>
          <w:lang w:eastAsia="fr-FR"/>
        </w:rPr>
      </w:pPr>
    </w:p>
    <w:p w14:paraId="2C97D132" w14:textId="77777777" w:rsidR="006146DC" w:rsidRPr="0031543F" w:rsidRDefault="006146DC" w:rsidP="006146DC">
      <w:pPr>
        <w:jc w:val="left"/>
        <w:rPr>
          <w:rFonts w:eastAsia="Times New Roman" w:cs="Arial"/>
          <w:b/>
          <w:bCs/>
          <w:lang w:eastAsia="fr-FR"/>
        </w:rPr>
      </w:pPr>
    </w:p>
    <w:p w14:paraId="57412C6D" w14:textId="4929CA18" w:rsidR="006146DC" w:rsidRPr="0031543F" w:rsidRDefault="002D7432" w:rsidP="006146DC">
      <w:pPr>
        <w:jc w:val="left"/>
        <w:rPr>
          <w:rFonts w:eastAsia="Times New Roman" w:cs="Arial"/>
          <w:b/>
          <w:bCs/>
          <w:sz w:val="22"/>
          <w:szCs w:val="22"/>
          <w:lang w:eastAsia="fr-FR"/>
        </w:rPr>
      </w:pPr>
      <w:r w:rsidRPr="0031543F">
        <w:rPr>
          <w:rFonts w:eastAsia="Times New Roman" w:cs="Arial"/>
          <w:b/>
          <w:bCs/>
          <w:sz w:val="22"/>
          <w:szCs w:val="22"/>
          <w:lang w:eastAsia="fr-FR"/>
        </w:rPr>
        <w:t>N° Parquet</w:t>
      </w:r>
      <w:r w:rsidR="00533331" w:rsidRPr="0031543F">
        <w:rPr>
          <w:rFonts w:eastAsia="Times New Roman" w:cs="Arial"/>
          <w:b/>
          <w:bCs/>
          <w:sz w:val="22"/>
          <w:szCs w:val="22"/>
          <w:lang w:eastAsia="fr-FR"/>
        </w:rPr>
        <w:t xml:space="preserve"> </w:t>
      </w:r>
      <w:r w:rsidR="005F2112" w:rsidRPr="0031543F">
        <w:rPr>
          <w:rFonts w:eastAsia="Times New Roman" w:cs="Arial"/>
          <w:b/>
          <w:bCs/>
          <w:sz w:val="22"/>
          <w:szCs w:val="22"/>
          <w:lang w:eastAsia="fr-FR"/>
        </w:rPr>
        <w:fldChar w:fldCharType="begin">
          <w:ffData>
            <w:name w:val="Texte1"/>
            <w:enabled/>
            <w:calcOnExit w:val="0"/>
            <w:textInput/>
          </w:ffData>
        </w:fldChar>
      </w:r>
      <w:bookmarkStart w:id="1" w:name="Texte1"/>
      <w:r w:rsidR="005F2112" w:rsidRPr="0031543F">
        <w:rPr>
          <w:rFonts w:eastAsia="Times New Roman" w:cs="Arial"/>
          <w:b/>
          <w:bCs/>
          <w:sz w:val="22"/>
          <w:szCs w:val="22"/>
          <w:lang w:eastAsia="fr-FR"/>
        </w:rPr>
        <w:instrText xml:space="preserve"> FORMTEXT </w:instrText>
      </w:r>
      <w:r w:rsidR="005F2112" w:rsidRPr="0031543F">
        <w:rPr>
          <w:rFonts w:eastAsia="Times New Roman" w:cs="Arial"/>
          <w:b/>
          <w:bCs/>
          <w:sz w:val="22"/>
          <w:szCs w:val="22"/>
          <w:lang w:eastAsia="fr-FR"/>
        </w:rPr>
      </w:r>
      <w:r w:rsidR="005F2112" w:rsidRPr="0031543F">
        <w:rPr>
          <w:rFonts w:eastAsia="Times New Roman" w:cs="Arial"/>
          <w:b/>
          <w:bCs/>
          <w:sz w:val="22"/>
          <w:szCs w:val="22"/>
          <w:lang w:eastAsia="fr-FR"/>
        </w:rPr>
        <w:fldChar w:fldCharType="separate"/>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sz w:val="22"/>
          <w:szCs w:val="22"/>
          <w:lang w:eastAsia="fr-FR"/>
        </w:rPr>
        <w:fldChar w:fldCharType="end"/>
      </w:r>
      <w:bookmarkEnd w:id="1"/>
    </w:p>
    <w:p w14:paraId="0B2C16F3" w14:textId="4FCBFA9F" w:rsidR="002D7432" w:rsidRPr="0031543F" w:rsidRDefault="002D7432" w:rsidP="006146DC">
      <w:pPr>
        <w:jc w:val="left"/>
        <w:rPr>
          <w:rFonts w:eastAsia="Times New Roman" w:cs="Arial"/>
          <w:b/>
          <w:bCs/>
          <w:sz w:val="22"/>
          <w:szCs w:val="22"/>
          <w:lang w:eastAsia="fr-FR"/>
        </w:rPr>
      </w:pPr>
      <w:r w:rsidRPr="0031543F">
        <w:rPr>
          <w:rFonts w:eastAsia="Times New Roman" w:cs="Arial"/>
          <w:b/>
          <w:bCs/>
          <w:sz w:val="22"/>
          <w:szCs w:val="22"/>
          <w:lang w:eastAsia="fr-FR"/>
        </w:rPr>
        <w:t>N</w:t>
      </w:r>
      <w:r w:rsidR="00533331" w:rsidRPr="0031543F">
        <w:rPr>
          <w:rFonts w:eastAsia="Times New Roman" w:cs="Arial"/>
          <w:b/>
          <w:bCs/>
          <w:sz w:val="22"/>
          <w:szCs w:val="22"/>
          <w:lang w:eastAsia="fr-FR"/>
        </w:rPr>
        <w:t>° Instru</w:t>
      </w:r>
      <w:r w:rsidRPr="0031543F">
        <w:rPr>
          <w:rFonts w:eastAsia="Times New Roman" w:cs="Arial"/>
          <w:b/>
          <w:bCs/>
          <w:sz w:val="22"/>
          <w:szCs w:val="22"/>
          <w:lang w:eastAsia="fr-FR"/>
        </w:rPr>
        <w:t>ction</w:t>
      </w:r>
      <w:r w:rsidR="00533331" w:rsidRPr="0031543F">
        <w:rPr>
          <w:rFonts w:eastAsia="Times New Roman" w:cs="Arial"/>
          <w:b/>
          <w:bCs/>
          <w:sz w:val="22"/>
          <w:szCs w:val="22"/>
          <w:lang w:eastAsia="fr-FR"/>
        </w:rPr>
        <w:t xml:space="preserve"> </w:t>
      </w:r>
      <w:r w:rsidR="005F2112" w:rsidRPr="0031543F">
        <w:rPr>
          <w:rFonts w:eastAsia="Times New Roman" w:cs="Arial"/>
          <w:b/>
          <w:bCs/>
          <w:sz w:val="22"/>
          <w:szCs w:val="22"/>
          <w:lang w:eastAsia="fr-FR"/>
        </w:rPr>
        <w:fldChar w:fldCharType="begin">
          <w:ffData>
            <w:name w:val="Texte2"/>
            <w:enabled/>
            <w:calcOnExit w:val="0"/>
            <w:textInput/>
          </w:ffData>
        </w:fldChar>
      </w:r>
      <w:bookmarkStart w:id="2" w:name="Texte2"/>
      <w:r w:rsidR="005F2112" w:rsidRPr="0031543F">
        <w:rPr>
          <w:rFonts w:eastAsia="Times New Roman" w:cs="Arial"/>
          <w:b/>
          <w:bCs/>
          <w:sz w:val="22"/>
          <w:szCs w:val="22"/>
          <w:lang w:eastAsia="fr-FR"/>
        </w:rPr>
        <w:instrText xml:space="preserve"> FORMTEXT </w:instrText>
      </w:r>
      <w:r w:rsidR="005F2112" w:rsidRPr="0031543F">
        <w:rPr>
          <w:rFonts w:eastAsia="Times New Roman" w:cs="Arial"/>
          <w:b/>
          <w:bCs/>
          <w:sz w:val="22"/>
          <w:szCs w:val="22"/>
          <w:lang w:eastAsia="fr-FR"/>
        </w:rPr>
      </w:r>
      <w:r w:rsidR="005F2112" w:rsidRPr="0031543F">
        <w:rPr>
          <w:rFonts w:eastAsia="Times New Roman" w:cs="Arial"/>
          <w:b/>
          <w:bCs/>
          <w:sz w:val="22"/>
          <w:szCs w:val="22"/>
          <w:lang w:eastAsia="fr-FR"/>
        </w:rPr>
        <w:fldChar w:fldCharType="separate"/>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sz w:val="22"/>
          <w:szCs w:val="22"/>
          <w:lang w:eastAsia="fr-FR"/>
        </w:rPr>
        <w:fldChar w:fldCharType="end"/>
      </w:r>
      <w:bookmarkEnd w:id="2"/>
    </w:p>
    <w:p w14:paraId="3E8CCB86" w14:textId="77777777" w:rsidR="006146DC" w:rsidRPr="0031543F" w:rsidRDefault="006146DC" w:rsidP="006146DC">
      <w:pPr>
        <w:jc w:val="left"/>
        <w:rPr>
          <w:rFonts w:eastAsia="Times New Roman" w:cs="Arial"/>
          <w:b/>
          <w:bCs/>
          <w:sz w:val="22"/>
          <w:szCs w:val="22"/>
          <w:lang w:eastAsia="fr-FR"/>
        </w:rPr>
      </w:pPr>
      <w:bookmarkStart w:id="3" w:name="_Hlk29561950"/>
    </w:p>
    <w:p w14:paraId="3A689A30" w14:textId="77777777" w:rsidR="006146DC" w:rsidRPr="0031543F" w:rsidRDefault="006146DC" w:rsidP="006146DC">
      <w:pPr>
        <w:jc w:val="left"/>
        <w:rPr>
          <w:rFonts w:eastAsia="Times New Roman" w:cs="Arial"/>
          <w:b/>
          <w:bCs/>
          <w:lang w:eastAsia="fr-FR"/>
        </w:rPr>
      </w:pPr>
    </w:p>
    <w:p w14:paraId="59EFFA5A" w14:textId="77777777" w:rsidR="006146DC" w:rsidRPr="0031543F" w:rsidRDefault="006146DC" w:rsidP="006146DC">
      <w:pPr>
        <w:jc w:val="left"/>
        <w:rPr>
          <w:rFonts w:eastAsia="Times New Roman" w:cs="Arial"/>
          <w:lang w:eastAsia="fr-FR"/>
        </w:rPr>
      </w:pPr>
    </w:p>
    <w:p w14:paraId="66644382" w14:textId="77777777" w:rsidR="006146DC" w:rsidRPr="0031543F" w:rsidRDefault="006146DC" w:rsidP="006146DC">
      <w:pPr>
        <w:jc w:val="left"/>
        <w:rPr>
          <w:rFonts w:eastAsia="Times New Roman" w:cs="Arial"/>
          <w:lang w:eastAsia="fr-FR"/>
        </w:rPr>
      </w:pPr>
    </w:p>
    <w:p w14:paraId="2F7EB2E3" w14:textId="77777777" w:rsidR="006146DC" w:rsidRPr="0031543F" w:rsidRDefault="006146DC" w:rsidP="006146DC">
      <w:pPr>
        <w:jc w:val="left"/>
        <w:rPr>
          <w:rFonts w:eastAsia="Times New Roman" w:cs="Arial"/>
          <w:lang w:eastAsia="fr-FR"/>
        </w:rPr>
      </w:pPr>
    </w:p>
    <w:p w14:paraId="2AA16E15" w14:textId="77777777" w:rsidR="006146DC" w:rsidRPr="0031543F" w:rsidRDefault="006146DC" w:rsidP="006146DC">
      <w:pPr>
        <w:jc w:val="left"/>
        <w:rPr>
          <w:rFonts w:eastAsia="Times New Roman" w:cs="Arial"/>
          <w:lang w:eastAsia="fr-FR"/>
        </w:rPr>
      </w:pPr>
    </w:p>
    <w:p w14:paraId="0E08D746" w14:textId="77777777" w:rsidR="006146DC" w:rsidRPr="0031543F" w:rsidRDefault="006146DC" w:rsidP="006146DC">
      <w:pPr>
        <w:jc w:val="left"/>
        <w:rPr>
          <w:rFonts w:eastAsia="Times New Roman" w:cs="Arial"/>
          <w:lang w:eastAsia="fr-FR"/>
        </w:rPr>
      </w:pPr>
    </w:p>
    <w:p w14:paraId="04376263" w14:textId="1E4F6B6D" w:rsidR="006146DC" w:rsidRPr="0031543F" w:rsidRDefault="00533331" w:rsidP="006146DC">
      <w:pPr>
        <w:pStyle w:val="Titre"/>
        <w:rPr>
          <w:b/>
        </w:rPr>
      </w:pPr>
      <w:bookmarkStart w:id="4" w:name="_Hlk7256064"/>
      <w:bookmarkEnd w:id="3"/>
      <w:r w:rsidRPr="0031543F">
        <w:rPr>
          <w:b/>
        </w:rPr>
        <w:t>DEMANDE DE MISE EN LIBERTE</w:t>
      </w:r>
    </w:p>
    <w:p w14:paraId="5BC62E27" w14:textId="6C8FF28F" w:rsidR="006146DC" w:rsidRPr="0031543F" w:rsidRDefault="00533331" w:rsidP="006146DC">
      <w:pPr>
        <w:pStyle w:val="Sous-titre"/>
        <w:rPr>
          <w:iCs/>
        </w:rPr>
      </w:pPr>
      <w:r w:rsidRPr="0031543F">
        <w:rPr>
          <w:iCs/>
        </w:rPr>
        <w:t xml:space="preserve">ARTICLE 148 </w:t>
      </w:r>
      <w:r w:rsidR="00143C6A">
        <w:rPr>
          <w:iCs/>
        </w:rPr>
        <w:t>DU CODE DE PROCÉDURE PÉNALE</w:t>
      </w:r>
    </w:p>
    <w:bookmarkEnd w:id="4"/>
    <w:p w14:paraId="5CE5853A" w14:textId="77777777" w:rsidR="006146DC" w:rsidRPr="0031543F" w:rsidRDefault="006146DC" w:rsidP="006146DC">
      <w:pPr>
        <w:jc w:val="left"/>
        <w:rPr>
          <w:rFonts w:eastAsia="Times New Roman" w:cs="Arial"/>
          <w:lang w:eastAsia="fr-FR"/>
        </w:rPr>
      </w:pPr>
    </w:p>
    <w:p w14:paraId="6C34F3F5" w14:textId="77777777" w:rsidR="006146DC" w:rsidRPr="0031543F" w:rsidRDefault="006146DC" w:rsidP="006146DC">
      <w:pPr>
        <w:jc w:val="left"/>
        <w:rPr>
          <w:rFonts w:eastAsia="Times New Roman" w:cs="Arial"/>
          <w:lang w:eastAsia="fr-FR"/>
        </w:rPr>
      </w:pPr>
    </w:p>
    <w:p w14:paraId="468001CD" w14:textId="77777777" w:rsidR="006146DC" w:rsidRPr="0031543F" w:rsidRDefault="006146DC" w:rsidP="006146DC">
      <w:pPr>
        <w:jc w:val="left"/>
        <w:rPr>
          <w:rFonts w:eastAsia="Times New Roman" w:cs="Arial"/>
          <w:lang w:eastAsia="fr-FR"/>
        </w:rPr>
      </w:pPr>
    </w:p>
    <w:p w14:paraId="775C9AF2" w14:textId="77777777" w:rsidR="006146DC" w:rsidRPr="0031543F" w:rsidRDefault="006146DC" w:rsidP="006146DC">
      <w:pPr>
        <w:jc w:val="left"/>
        <w:rPr>
          <w:rFonts w:eastAsia="Times New Roman" w:cs="Arial"/>
          <w:lang w:eastAsia="fr-FR"/>
        </w:rPr>
      </w:pPr>
    </w:p>
    <w:p w14:paraId="7DCAE4BF" w14:textId="77777777" w:rsidR="002F2109" w:rsidRPr="0031543F" w:rsidRDefault="002F2109" w:rsidP="006146DC">
      <w:pPr>
        <w:jc w:val="left"/>
        <w:rPr>
          <w:rFonts w:eastAsia="Times New Roman" w:cs="Arial"/>
          <w:lang w:eastAsia="fr-FR"/>
        </w:rPr>
      </w:pPr>
    </w:p>
    <w:p w14:paraId="36B135BE" w14:textId="13706D5F" w:rsidR="006146DC" w:rsidRPr="0031543F" w:rsidRDefault="00C4264D" w:rsidP="006146DC">
      <w:pPr>
        <w:rPr>
          <w:rFonts w:eastAsia="Times New Roman" w:cs="Arial"/>
          <w:lang w:eastAsia="fr-FR"/>
        </w:rPr>
      </w:pPr>
      <w:bookmarkStart w:id="5" w:name="_Hlk7256088"/>
      <w:r w:rsidRPr="0017533C">
        <w:rPr>
          <w:rFonts w:eastAsia="Times New Roman" w:cs="Arial"/>
          <w:b/>
          <w:highlight w:val="lightGray"/>
          <w:lang w:eastAsia="fr-FR"/>
        </w:rPr>
        <w:t>Madame / Monsieur</w:t>
      </w:r>
      <w:r>
        <w:rPr>
          <w:rFonts w:eastAsia="Times New Roman" w:cs="Arial"/>
          <w:b/>
          <w:lang w:eastAsia="fr-FR"/>
        </w:rPr>
        <w:t xml:space="preserve"> </w:t>
      </w:r>
      <w:r w:rsidR="005F2112" w:rsidRPr="0031543F">
        <w:rPr>
          <w:rFonts w:eastAsia="Times New Roman" w:cs="Arial"/>
          <w:b/>
          <w:lang w:eastAsia="fr-FR"/>
        </w:rPr>
        <w:fldChar w:fldCharType="begin">
          <w:ffData>
            <w:name w:val="Texte3"/>
            <w:enabled/>
            <w:calcOnExit w:val="0"/>
            <w:textInput/>
          </w:ffData>
        </w:fldChar>
      </w:r>
      <w:bookmarkStart w:id="6" w:name="Texte3"/>
      <w:r w:rsidR="005F2112" w:rsidRPr="0031543F">
        <w:rPr>
          <w:rFonts w:eastAsia="Times New Roman" w:cs="Arial"/>
          <w:b/>
          <w:lang w:eastAsia="fr-FR"/>
        </w:rPr>
        <w:instrText xml:space="preserve"> FORMTEXT </w:instrText>
      </w:r>
      <w:r w:rsidR="005F2112" w:rsidRPr="0031543F">
        <w:rPr>
          <w:rFonts w:eastAsia="Times New Roman" w:cs="Arial"/>
          <w:b/>
          <w:lang w:eastAsia="fr-FR"/>
        </w:rPr>
      </w:r>
      <w:r w:rsidR="005F2112" w:rsidRPr="0031543F">
        <w:rPr>
          <w:rFonts w:eastAsia="Times New Roman" w:cs="Arial"/>
          <w:b/>
          <w:lang w:eastAsia="fr-FR"/>
        </w:rPr>
        <w:fldChar w:fldCharType="separate"/>
      </w:r>
      <w:r w:rsidR="005F2112" w:rsidRPr="0031543F">
        <w:rPr>
          <w:rFonts w:eastAsia="Times New Roman" w:cs="Arial"/>
          <w:b/>
          <w:noProof/>
          <w:lang w:eastAsia="fr-FR"/>
        </w:rPr>
        <w:t> </w:t>
      </w:r>
      <w:r w:rsidR="005F2112" w:rsidRPr="0031543F">
        <w:rPr>
          <w:rFonts w:eastAsia="Times New Roman" w:cs="Arial"/>
          <w:b/>
          <w:noProof/>
          <w:lang w:eastAsia="fr-FR"/>
        </w:rPr>
        <w:t> </w:t>
      </w:r>
      <w:r w:rsidR="005F2112" w:rsidRPr="0031543F">
        <w:rPr>
          <w:rFonts w:eastAsia="Times New Roman" w:cs="Arial"/>
          <w:b/>
          <w:noProof/>
          <w:lang w:eastAsia="fr-FR"/>
        </w:rPr>
        <w:t> </w:t>
      </w:r>
      <w:r w:rsidR="005F2112" w:rsidRPr="0031543F">
        <w:rPr>
          <w:rFonts w:eastAsia="Times New Roman" w:cs="Arial"/>
          <w:b/>
          <w:noProof/>
          <w:lang w:eastAsia="fr-FR"/>
        </w:rPr>
        <w:t> </w:t>
      </w:r>
      <w:r w:rsidR="005F2112" w:rsidRPr="0031543F">
        <w:rPr>
          <w:rFonts w:eastAsia="Times New Roman" w:cs="Arial"/>
          <w:b/>
          <w:noProof/>
          <w:lang w:eastAsia="fr-FR"/>
        </w:rPr>
        <w:t> </w:t>
      </w:r>
      <w:r w:rsidR="005F2112" w:rsidRPr="0031543F">
        <w:rPr>
          <w:rFonts w:eastAsia="Times New Roman" w:cs="Arial"/>
          <w:b/>
          <w:lang w:eastAsia="fr-FR"/>
        </w:rPr>
        <w:fldChar w:fldCharType="end"/>
      </w:r>
      <w:bookmarkEnd w:id="6"/>
      <w:r w:rsidR="00533331" w:rsidRPr="0031543F">
        <w:rPr>
          <w:rFonts w:eastAsia="Times New Roman" w:cs="Arial"/>
          <w:lang w:eastAsia="fr-FR"/>
        </w:rPr>
        <w:t xml:space="preserve">, </w:t>
      </w:r>
      <w:r w:rsidR="00533331" w:rsidRPr="0017533C">
        <w:rPr>
          <w:rFonts w:eastAsia="Times New Roman" w:cs="Arial"/>
          <w:highlight w:val="lightGray"/>
          <w:lang w:eastAsia="fr-FR"/>
        </w:rPr>
        <w:t>né(e)</w:t>
      </w:r>
      <w:r w:rsidR="00533331" w:rsidRPr="0031543F">
        <w:rPr>
          <w:rFonts w:eastAsia="Times New Roman" w:cs="Arial"/>
          <w:lang w:eastAsia="fr-FR"/>
        </w:rPr>
        <w:t xml:space="preserve"> le </w:t>
      </w:r>
      <w:r w:rsidR="0031543F" w:rsidRPr="0031543F">
        <w:rPr>
          <w:rFonts w:eastAsia="Times New Roman" w:cs="Arial"/>
          <w:lang w:eastAsia="fr-FR"/>
        </w:rPr>
        <w:fldChar w:fldCharType="begin">
          <w:ffData>
            <w:name w:val="Texte4"/>
            <w:enabled/>
            <w:calcOnExit w:val="0"/>
            <w:textInput/>
          </w:ffData>
        </w:fldChar>
      </w:r>
      <w:bookmarkStart w:id="7" w:name="Texte4"/>
      <w:r w:rsidR="0031543F" w:rsidRPr="0031543F">
        <w:rPr>
          <w:rFonts w:eastAsia="Times New Roman" w:cs="Arial"/>
          <w:lang w:eastAsia="fr-FR"/>
        </w:rPr>
        <w:instrText xml:space="preserve"> FORMTEXT </w:instrText>
      </w:r>
      <w:r w:rsidR="0031543F" w:rsidRPr="0031543F">
        <w:rPr>
          <w:rFonts w:eastAsia="Times New Roman" w:cs="Arial"/>
          <w:lang w:eastAsia="fr-FR"/>
        </w:rPr>
      </w:r>
      <w:r w:rsidR="0031543F" w:rsidRPr="0031543F">
        <w:rPr>
          <w:rFonts w:eastAsia="Times New Roman" w:cs="Arial"/>
          <w:lang w:eastAsia="fr-FR"/>
        </w:rPr>
        <w:fldChar w:fldCharType="separate"/>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lang w:eastAsia="fr-FR"/>
        </w:rPr>
        <w:fldChar w:fldCharType="end"/>
      </w:r>
      <w:bookmarkEnd w:id="7"/>
      <w:r w:rsidR="00533331" w:rsidRPr="0031543F">
        <w:rPr>
          <w:rFonts w:eastAsia="Times New Roman" w:cs="Arial"/>
          <w:lang w:eastAsia="fr-FR"/>
        </w:rPr>
        <w:t xml:space="preserve"> </w:t>
      </w:r>
      <w:r w:rsidR="00533331" w:rsidRPr="00C010BB">
        <w:rPr>
          <w:rFonts w:eastAsia="Times New Roman" w:cs="Arial"/>
          <w:highlight w:val="lightGray"/>
          <w:lang w:eastAsia="fr-FR"/>
        </w:rPr>
        <w:t>à</w:t>
      </w:r>
      <w:r w:rsidR="00DD34AD" w:rsidRPr="00C010BB">
        <w:rPr>
          <w:rFonts w:eastAsia="Times New Roman" w:cs="Arial"/>
          <w:highlight w:val="lightGray"/>
          <w:lang w:eastAsia="fr-FR"/>
        </w:rPr>
        <w:t xml:space="preserve"> / au</w:t>
      </w:r>
      <w:r w:rsidR="00533331" w:rsidRPr="0031543F">
        <w:rPr>
          <w:rFonts w:eastAsia="Times New Roman" w:cs="Arial"/>
          <w:lang w:eastAsia="fr-FR"/>
        </w:rPr>
        <w:t xml:space="preserve"> </w:t>
      </w:r>
      <w:r w:rsidR="0031543F" w:rsidRPr="0031543F">
        <w:rPr>
          <w:rFonts w:eastAsia="Times New Roman" w:cs="Arial"/>
          <w:lang w:eastAsia="fr-FR"/>
        </w:rPr>
        <w:fldChar w:fldCharType="begin">
          <w:ffData>
            <w:name w:val="Texte6"/>
            <w:enabled/>
            <w:calcOnExit w:val="0"/>
            <w:textInput/>
          </w:ffData>
        </w:fldChar>
      </w:r>
      <w:bookmarkStart w:id="8" w:name="Texte6"/>
      <w:r w:rsidR="0031543F" w:rsidRPr="0031543F">
        <w:rPr>
          <w:rFonts w:eastAsia="Times New Roman" w:cs="Arial"/>
          <w:lang w:eastAsia="fr-FR"/>
        </w:rPr>
        <w:instrText xml:space="preserve"> FORMTEXT </w:instrText>
      </w:r>
      <w:r w:rsidR="0031543F" w:rsidRPr="0031543F">
        <w:rPr>
          <w:rFonts w:eastAsia="Times New Roman" w:cs="Arial"/>
          <w:lang w:eastAsia="fr-FR"/>
        </w:rPr>
      </w:r>
      <w:r w:rsidR="0031543F" w:rsidRPr="0031543F">
        <w:rPr>
          <w:rFonts w:eastAsia="Times New Roman" w:cs="Arial"/>
          <w:lang w:eastAsia="fr-FR"/>
        </w:rPr>
        <w:fldChar w:fldCharType="separate"/>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lang w:eastAsia="fr-FR"/>
        </w:rPr>
        <w:fldChar w:fldCharType="end"/>
      </w:r>
      <w:bookmarkEnd w:id="8"/>
      <w:r w:rsidR="00533331" w:rsidRPr="0031543F">
        <w:rPr>
          <w:rFonts w:eastAsia="Times New Roman" w:cs="Arial"/>
          <w:lang w:eastAsia="fr-FR"/>
        </w:rPr>
        <w:t xml:space="preserve">, de nationalité </w:t>
      </w:r>
      <w:r w:rsidR="0031543F" w:rsidRPr="0031543F">
        <w:rPr>
          <w:rFonts w:eastAsia="Times New Roman" w:cs="Arial"/>
          <w:lang w:eastAsia="fr-FR"/>
        </w:rPr>
        <w:fldChar w:fldCharType="begin">
          <w:ffData>
            <w:name w:val="Texte5"/>
            <w:enabled/>
            <w:calcOnExit w:val="0"/>
            <w:textInput/>
          </w:ffData>
        </w:fldChar>
      </w:r>
      <w:bookmarkStart w:id="9" w:name="Texte5"/>
      <w:r w:rsidR="0031543F" w:rsidRPr="0031543F">
        <w:rPr>
          <w:rFonts w:eastAsia="Times New Roman" w:cs="Arial"/>
          <w:lang w:eastAsia="fr-FR"/>
        </w:rPr>
        <w:instrText xml:space="preserve"> FORMTEXT </w:instrText>
      </w:r>
      <w:r w:rsidR="0031543F" w:rsidRPr="0031543F">
        <w:rPr>
          <w:rFonts w:eastAsia="Times New Roman" w:cs="Arial"/>
          <w:lang w:eastAsia="fr-FR"/>
        </w:rPr>
      </w:r>
      <w:r w:rsidR="0031543F" w:rsidRPr="0031543F">
        <w:rPr>
          <w:rFonts w:eastAsia="Times New Roman" w:cs="Arial"/>
          <w:lang w:eastAsia="fr-FR"/>
        </w:rPr>
        <w:fldChar w:fldCharType="separate"/>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lang w:eastAsia="fr-FR"/>
        </w:rPr>
        <w:fldChar w:fldCharType="end"/>
      </w:r>
      <w:bookmarkEnd w:id="9"/>
      <w:r w:rsidR="00533331" w:rsidRPr="0031543F">
        <w:rPr>
          <w:rFonts w:eastAsia="Times New Roman" w:cs="Arial"/>
          <w:lang w:eastAsia="fr-FR"/>
        </w:rPr>
        <w:t xml:space="preserve">, actuellement </w:t>
      </w:r>
      <w:r w:rsidR="00533331" w:rsidRPr="0017533C">
        <w:rPr>
          <w:rFonts w:eastAsia="Times New Roman" w:cs="Arial"/>
          <w:highlight w:val="lightGray"/>
          <w:lang w:eastAsia="fr-FR"/>
        </w:rPr>
        <w:t>incarcéré</w:t>
      </w:r>
      <w:r w:rsidR="00A33E30" w:rsidRPr="0017533C">
        <w:rPr>
          <w:rFonts w:eastAsia="Times New Roman" w:cs="Arial"/>
          <w:highlight w:val="lightGray"/>
          <w:lang w:eastAsia="fr-FR"/>
        </w:rPr>
        <w:t>(e)</w:t>
      </w:r>
      <w:r w:rsidR="00533331" w:rsidRPr="0031543F">
        <w:rPr>
          <w:rFonts w:eastAsia="Times New Roman" w:cs="Arial"/>
          <w:lang w:eastAsia="fr-FR"/>
        </w:rPr>
        <w:t xml:space="preserve"> </w:t>
      </w:r>
      <w:r w:rsidR="00533331" w:rsidRPr="00C010BB">
        <w:rPr>
          <w:rFonts w:eastAsia="Times New Roman" w:cs="Arial"/>
          <w:highlight w:val="lightGray"/>
          <w:lang w:eastAsia="fr-FR"/>
        </w:rPr>
        <w:t>à</w:t>
      </w:r>
      <w:r w:rsidR="00C010BB" w:rsidRPr="00C010BB">
        <w:rPr>
          <w:rFonts w:eastAsia="Times New Roman" w:cs="Arial"/>
          <w:highlight w:val="lightGray"/>
          <w:lang w:eastAsia="fr-FR"/>
        </w:rPr>
        <w:t xml:space="preserve"> / au</w:t>
      </w:r>
      <w:r w:rsidR="00533331" w:rsidRPr="0031543F">
        <w:rPr>
          <w:rFonts w:eastAsia="Times New Roman" w:cs="Arial"/>
          <w:lang w:eastAsia="fr-FR"/>
        </w:rPr>
        <w:t xml:space="preserve"> </w:t>
      </w:r>
      <w:r w:rsidR="0031543F" w:rsidRPr="0031543F">
        <w:rPr>
          <w:rFonts w:eastAsia="Times New Roman" w:cs="Arial"/>
          <w:lang w:eastAsia="fr-FR"/>
        </w:rPr>
        <w:fldChar w:fldCharType="begin">
          <w:ffData>
            <w:name w:val="Texte7"/>
            <w:enabled/>
            <w:calcOnExit w:val="0"/>
            <w:textInput/>
          </w:ffData>
        </w:fldChar>
      </w:r>
      <w:bookmarkStart w:id="10" w:name="Texte7"/>
      <w:r w:rsidR="0031543F" w:rsidRPr="0031543F">
        <w:rPr>
          <w:rFonts w:eastAsia="Times New Roman" w:cs="Arial"/>
          <w:lang w:eastAsia="fr-FR"/>
        </w:rPr>
        <w:instrText xml:space="preserve"> FORMTEXT </w:instrText>
      </w:r>
      <w:r w:rsidR="0031543F" w:rsidRPr="0031543F">
        <w:rPr>
          <w:rFonts w:eastAsia="Times New Roman" w:cs="Arial"/>
          <w:lang w:eastAsia="fr-FR"/>
        </w:rPr>
      </w:r>
      <w:r w:rsidR="0031543F" w:rsidRPr="0031543F">
        <w:rPr>
          <w:rFonts w:eastAsia="Times New Roman" w:cs="Arial"/>
          <w:lang w:eastAsia="fr-FR"/>
        </w:rPr>
        <w:fldChar w:fldCharType="separate"/>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lang w:eastAsia="fr-FR"/>
        </w:rPr>
        <w:fldChar w:fldCharType="end"/>
      </w:r>
      <w:bookmarkEnd w:id="10"/>
      <w:r w:rsidR="0031543F" w:rsidRPr="0031543F">
        <w:rPr>
          <w:rFonts w:eastAsia="Times New Roman" w:cs="Arial"/>
          <w:lang w:eastAsia="fr-FR"/>
        </w:rPr>
        <w:t xml:space="preserve"> </w:t>
      </w:r>
      <w:r w:rsidR="00533331" w:rsidRPr="0031543F">
        <w:rPr>
          <w:rFonts w:eastAsia="Times New Roman" w:cs="Arial"/>
          <w:lang w:eastAsia="fr-FR"/>
        </w:rPr>
        <w:t xml:space="preserve">sous le numéro d’écrou </w:t>
      </w:r>
      <w:r w:rsidR="0031543F" w:rsidRPr="0031543F">
        <w:rPr>
          <w:rFonts w:eastAsia="Times New Roman" w:cs="Arial"/>
          <w:lang w:eastAsia="fr-FR"/>
        </w:rPr>
        <w:fldChar w:fldCharType="begin">
          <w:ffData>
            <w:name w:val="Texte8"/>
            <w:enabled/>
            <w:calcOnExit w:val="0"/>
            <w:textInput/>
          </w:ffData>
        </w:fldChar>
      </w:r>
      <w:bookmarkStart w:id="11" w:name="Texte8"/>
      <w:r w:rsidR="0031543F" w:rsidRPr="0031543F">
        <w:rPr>
          <w:rFonts w:eastAsia="Times New Roman" w:cs="Arial"/>
          <w:lang w:eastAsia="fr-FR"/>
        </w:rPr>
        <w:instrText xml:space="preserve"> FORMTEXT </w:instrText>
      </w:r>
      <w:r w:rsidR="0031543F" w:rsidRPr="0031543F">
        <w:rPr>
          <w:rFonts w:eastAsia="Times New Roman" w:cs="Arial"/>
          <w:lang w:eastAsia="fr-FR"/>
        </w:rPr>
      </w:r>
      <w:r w:rsidR="0031543F" w:rsidRPr="0031543F">
        <w:rPr>
          <w:rFonts w:eastAsia="Times New Roman" w:cs="Arial"/>
          <w:lang w:eastAsia="fr-FR"/>
        </w:rPr>
        <w:fldChar w:fldCharType="separate"/>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lang w:eastAsia="fr-FR"/>
        </w:rPr>
        <w:fldChar w:fldCharType="end"/>
      </w:r>
      <w:bookmarkEnd w:id="11"/>
    </w:p>
    <w:p w14:paraId="47678F5E" w14:textId="77777777" w:rsidR="006146DC" w:rsidRPr="0031543F" w:rsidRDefault="006146DC" w:rsidP="006146DC">
      <w:pPr>
        <w:rPr>
          <w:rFonts w:eastAsia="Times New Roman" w:cs="Arial"/>
          <w:lang w:eastAsia="fr-FR"/>
        </w:rPr>
      </w:pPr>
    </w:p>
    <w:p w14:paraId="6AF3DEB7" w14:textId="77777777" w:rsidR="006146DC" w:rsidRPr="0031543F" w:rsidRDefault="006146DC" w:rsidP="006146DC">
      <w:pPr>
        <w:rPr>
          <w:rFonts w:eastAsia="Times New Roman" w:cs="Arial"/>
          <w:lang w:eastAsia="fr-FR"/>
        </w:rPr>
      </w:pPr>
    </w:p>
    <w:p w14:paraId="28B3FCF5" w14:textId="77777777" w:rsidR="006146DC" w:rsidRPr="0031543F" w:rsidRDefault="006146DC" w:rsidP="006146DC">
      <w:pPr>
        <w:jc w:val="center"/>
        <w:rPr>
          <w:rFonts w:eastAsia="Times New Roman" w:cs="Arial"/>
          <w:b/>
          <w:u w:val="single"/>
          <w:lang w:eastAsia="fr-FR"/>
        </w:rPr>
      </w:pPr>
      <w:r w:rsidRPr="0031543F">
        <w:rPr>
          <w:rFonts w:eastAsia="Times New Roman" w:cs="Arial"/>
          <w:b/>
          <w:u w:val="single"/>
          <w:lang w:eastAsia="fr-FR"/>
        </w:rPr>
        <w:t>Ayant pour Avocat :</w:t>
      </w:r>
    </w:p>
    <w:p w14:paraId="1BFBFAD4" w14:textId="77777777" w:rsidR="006146DC" w:rsidRPr="0031543F" w:rsidRDefault="006146DC" w:rsidP="006146DC">
      <w:pPr>
        <w:jc w:val="center"/>
        <w:rPr>
          <w:rFonts w:eastAsia="Times New Roman" w:cs="Arial"/>
          <w:b/>
          <w:u w:val="single"/>
          <w:lang w:eastAsia="fr-FR"/>
        </w:rPr>
      </w:pPr>
    </w:p>
    <w:p w14:paraId="2CD256DB" w14:textId="77832664" w:rsidR="006146DC" w:rsidRPr="0031543F" w:rsidRDefault="006146DC" w:rsidP="006146DC">
      <w:pPr>
        <w:jc w:val="center"/>
        <w:rPr>
          <w:rFonts w:eastAsia="Times New Roman" w:cs="Arial"/>
          <w:b/>
          <w:lang w:eastAsia="fr-FR"/>
        </w:rPr>
      </w:pPr>
      <w:r w:rsidRPr="0031543F">
        <w:rPr>
          <w:rFonts w:eastAsia="Times New Roman" w:cs="Arial"/>
          <w:b/>
          <w:lang w:eastAsia="fr-FR"/>
        </w:rPr>
        <w:t xml:space="preserve">Me </w:t>
      </w:r>
      <w:r w:rsidR="0031543F" w:rsidRPr="0031543F">
        <w:rPr>
          <w:rFonts w:eastAsia="Times New Roman" w:cs="Arial"/>
          <w:b/>
          <w:lang w:eastAsia="fr-FR"/>
        </w:rPr>
        <w:fldChar w:fldCharType="begin">
          <w:ffData>
            <w:name w:val="Texte9"/>
            <w:enabled/>
            <w:calcOnExit w:val="0"/>
            <w:textInput/>
          </w:ffData>
        </w:fldChar>
      </w:r>
      <w:bookmarkStart w:id="12" w:name="Texte9"/>
      <w:r w:rsidR="0031543F" w:rsidRPr="0031543F">
        <w:rPr>
          <w:rFonts w:eastAsia="Times New Roman" w:cs="Arial"/>
          <w:b/>
          <w:lang w:eastAsia="fr-FR"/>
        </w:rPr>
        <w:instrText xml:space="preserve"> FORMTEXT </w:instrText>
      </w:r>
      <w:r w:rsidR="0031543F" w:rsidRPr="0031543F">
        <w:rPr>
          <w:rFonts w:eastAsia="Times New Roman" w:cs="Arial"/>
          <w:b/>
          <w:lang w:eastAsia="fr-FR"/>
        </w:rPr>
      </w:r>
      <w:r w:rsidR="0031543F" w:rsidRPr="0031543F">
        <w:rPr>
          <w:rFonts w:eastAsia="Times New Roman" w:cs="Arial"/>
          <w:b/>
          <w:lang w:eastAsia="fr-FR"/>
        </w:rPr>
        <w:fldChar w:fldCharType="separate"/>
      </w:r>
      <w:r w:rsidR="0031543F" w:rsidRPr="0031543F">
        <w:rPr>
          <w:rFonts w:eastAsia="Times New Roman" w:cs="Arial"/>
          <w:b/>
          <w:noProof/>
          <w:lang w:eastAsia="fr-FR"/>
        </w:rPr>
        <w:t> </w:t>
      </w:r>
      <w:r w:rsidR="0031543F" w:rsidRPr="0031543F">
        <w:rPr>
          <w:rFonts w:eastAsia="Times New Roman" w:cs="Arial"/>
          <w:b/>
          <w:noProof/>
          <w:lang w:eastAsia="fr-FR"/>
        </w:rPr>
        <w:t> </w:t>
      </w:r>
      <w:r w:rsidR="0031543F" w:rsidRPr="0031543F">
        <w:rPr>
          <w:rFonts w:eastAsia="Times New Roman" w:cs="Arial"/>
          <w:b/>
          <w:noProof/>
          <w:lang w:eastAsia="fr-FR"/>
        </w:rPr>
        <w:t> </w:t>
      </w:r>
      <w:r w:rsidR="0031543F" w:rsidRPr="0031543F">
        <w:rPr>
          <w:rFonts w:eastAsia="Times New Roman" w:cs="Arial"/>
          <w:b/>
          <w:noProof/>
          <w:lang w:eastAsia="fr-FR"/>
        </w:rPr>
        <w:t> </w:t>
      </w:r>
      <w:r w:rsidR="0031543F" w:rsidRPr="0031543F">
        <w:rPr>
          <w:rFonts w:eastAsia="Times New Roman" w:cs="Arial"/>
          <w:b/>
          <w:noProof/>
          <w:lang w:eastAsia="fr-FR"/>
        </w:rPr>
        <w:t> </w:t>
      </w:r>
      <w:r w:rsidR="0031543F" w:rsidRPr="0031543F">
        <w:rPr>
          <w:rFonts w:eastAsia="Times New Roman" w:cs="Arial"/>
          <w:b/>
          <w:lang w:eastAsia="fr-FR"/>
        </w:rPr>
        <w:fldChar w:fldCharType="end"/>
      </w:r>
      <w:bookmarkEnd w:id="12"/>
    </w:p>
    <w:p w14:paraId="1C5AE01C" w14:textId="5742CCB1" w:rsidR="006146DC" w:rsidRPr="0031543F" w:rsidRDefault="006146DC" w:rsidP="006146DC">
      <w:pPr>
        <w:jc w:val="center"/>
        <w:rPr>
          <w:rFonts w:eastAsia="Times New Roman" w:cs="Arial"/>
          <w:b/>
          <w:lang w:eastAsia="fr-FR"/>
        </w:rPr>
      </w:pPr>
      <w:r w:rsidRPr="0031543F">
        <w:rPr>
          <w:rFonts w:eastAsia="Times New Roman" w:cs="Arial"/>
          <w:b/>
          <w:lang w:eastAsia="fr-FR"/>
        </w:rPr>
        <w:t xml:space="preserve">Avocat au Barreau de </w:t>
      </w:r>
      <w:r w:rsidR="0031543F">
        <w:rPr>
          <w:rFonts w:eastAsia="Times New Roman" w:cs="Arial"/>
          <w:b/>
          <w:lang w:eastAsia="fr-FR"/>
        </w:rPr>
        <w:fldChar w:fldCharType="begin">
          <w:ffData>
            <w:name w:val="Texte10"/>
            <w:enabled/>
            <w:calcOnExit w:val="0"/>
            <w:textInput/>
          </w:ffData>
        </w:fldChar>
      </w:r>
      <w:bookmarkStart w:id="13" w:name="Texte10"/>
      <w:r w:rsidR="0031543F">
        <w:rPr>
          <w:rFonts w:eastAsia="Times New Roman" w:cs="Arial"/>
          <w:b/>
          <w:lang w:eastAsia="fr-FR"/>
        </w:rPr>
        <w:instrText xml:space="preserve"> FORMTEXT </w:instrText>
      </w:r>
      <w:r w:rsidR="0031543F">
        <w:rPr>
          <w:rFonts w:eastAsia="Times New Roman" w:cs="Arial"/>
          <w:b/>
          <w:lang w:eastAsia="fr-FR"/>
        </w:rPr>
      </w:r>
      <w:r w:rsidR="0031543F">
        <w:rPr>
          <w:rFonts w:eastAsia="Times New Roman" w:cs="Arial"/>
          <w:b/>
          <w:lang w:eastAsia="fr-FR"/>
        </w:rPr>
        <w:fldChar w:fldCharType="separate"/>
      </w:r>
      <w:r w:rsidR="0031543F">
        <w:rPr>
          <w:rFonts w:eastAsia="Times New Roman" w:cs="Arial"/>
          <w:b/>
          <w:noProof/>
          <w:lang w:eastAsia="fr-FR"/>
        </w:rPr>
        <w:t> </w:t>
      </w:r>
      <w:r w:rsidR="0031543F">
        <w:rPr>
          <w:rFonts w:eastAsia="Times New Roman" w:cs="Arial"/>
          <w:b/>
          <w:noProof/>
          <w:lang w:eastAsia="fr-FR"/>
        </w:rPr>
        <w:t> </w:t>
      </w:r>
      <w:r w:rsidR="0031543F">
        <w:rPr>
          <w:rFonts w:eastAsia="Times New Roman" w:cs="Arial"/>
          <w:b/>
          <w:noProof/>
          <w:lang w:eastAsia="fr-FR"/>
        </w:rPr>
        <w:t> </w:t>
      </w:r>
      <w:r w:rsidR="0031543F">
        <w:rPr>
          <w:rFonts w:eastAsia="Times New Roman" w:cs="Arial"/>
          <w:b/>
          <w:noProof/>
          <w:lang w:eastAsia="fr-FR"/>
        </w:rPr>
        <w:t> </w:t>
      </w:r>
      <w:r w:rsidR="0031543F">
        <w:rPr>
          <w:rFonts w:eastAsia="Times New Roman" w:cs="Arial"/>
          <w:b/>
          <w:noProof/>
          <w:lang w:eastAsia="fr-FR"/>
        </w:rPr>
        <w:t> </w:t>
      </w:r>
      <w:r w:rsidR="0031543F">
        <w:rPr>
          <w:rFonts w:eastAsia="Times New Roman" w:cs="Arial"/>
          <w:b/>
          <w:lang w:eastAsia="fr-FR"/>
        </w:rPr>
        <w:fldChar w:fldCharType="end"/>
      </w:r>
      <w:bookmarkEnd w:id="13"/>
    </w:p>
    <w:p w14:paraId="7C4EA0A1" w14:textId="7AE926EB" w:rsidR="0031543F" w:rsidRDefault="0017533C" w:rsidP="006146DC">
      <w:pPr>
        <w:jc w:val="center"/>
        <w:rPr>
          <w:rFonts w:eastAsia="Times New Roman" w:cs="Arial"/>
          <w:lang w:eastAsia="fr-FR"/>
        </w:rPr>
      </w:pPr>
      <w:r w:rsidRPr="0017533C">
        <w:rPr>
          <w:rFonts w:eastAsia="Times New Roman" w:cs="Arial"/>
          <w:highlight w:val="lightGray"/>
          <w:lang w:eastAsia="fr-FR"/>
        </w:rPr>
        <w:t>[ADRESSE]</w:t>
      </w:r>
    </w:p>
    <w:p w14:paraId="6E84D184" w14:textId="43DDAE82" w:rsidR="006146DC" w:rsidRPr="0031543F" w:rsidRDefault="006146DC" w:rsidP="006146DC">
      <w:pPr>
        <w:jc w:val="center"/>
        <w:rPr>
          <w:rFonts w:eastAsia="Times New Roman" w:cs="Arial"/>
          <w:lang w:eastAsia="fr-FR"/>
        </w:rPr>
      </w:pPr>
      <w:r w:rsidRPr="0031543F">
        <w:rPr>
          <w:rFonts w:eastAsia="Times New Roman" w:cs="Arial"/>
          <w:lang w:eastAsia="fr-FR"/>
        </w:rPr>
        <w:t xml:space="preserve">Tel : </w:t>
      </w:r>
      <w:r w:rsidR="0031543F">
        <w:rPr>
          <w:rFonts w:eastAsia="Times New Roman" w:cs="Arial"/>
          <w:lang w:eastAsia="fr-FR"/>
        </w:rPr>
        <w:fldChar w:fldCharType="begin">
          <w:ffData>
            <w:name w:val="Texte12"/>
            <w:enabled/>
            <w:calcOnExit w:val="0"/>
            <w:textInput/>
          </w:ffData>
        </w:fldChar>
      </w:r>
      <w:bookmarkStart w:id="14" w:name="Texte12"/>
      <w:r w:rsidR="0031543F">
        <w:rPr>
          <w:rFonts w:eastAsia="Times New Roman" w:cs="Arial"/>
          <w:lang w:eastAsia="fr-FR"/>
        </w:rPr>
        <w:instrText xml:space="preserve"> FORMTEXT </w:instrText>
      </w:r>
      <w:r w:rsidR="0031543F">
        <w:rPr>
          <w:rFonts w:eastAsia="Times New Roman" w:cs="Arial"/>
          <w:lang w:eastAsia="fr-FR"/>
        </w:rPr>
      </w:r>
      <w:r w:rsidR="0031543F">
        <w:rPr>
          <w:rFonts w:eastAsia="Times New Roman" w:cs="Arial"/>
          <w:lang w:eastAsia="fr-FR"/>
        </w:rPr>
        <w:fldChar w:fldCharType="separate"/>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lang w:eastAsia="fr-FR"/>
        </w:rPr>
        <w:fldChar w:fldCharType="end"/>
      </w:r>
      <w:bookmarkEnd w:id="14"/>
      <w:r w:rsidR="0031543F">
        <w:rPr>
          <w:rFonts w:eastAsia="Times New Roman" w:cs="Arial"/>
          <w:lang w:eastAsia="fr-FR"/>
        </w:rPr>
        <w:t xml:space="preserve"> </w:t>
      </w:r>
      <w:r w:rsidRPr="0031543F">
        <w:rPr>
          <w:rFonts w:eastAsia="Times New Roman" w:cs="Arial"/>
          <w:lang w:eastAsia="fr-FR"/>
        </w:rPr>
        <w:t xml:space="preserve">– Fax : </w:t>
      </w:r>
      <w:r w:rsidR="0031543F">
        <w:rPr>
          <w:rFonts w:eastAsia="Times New Roman" w:cs="Arial"/>
          <w:lang w:eastAsia="fr-FR"/>
        </w:rPr>
        <w:fldChar w:fldCharType="begin">
          <w:ffData>
            <w:name w:val="Texte13"/>
            <w:enabled/>
            <w:calcOnExit w:val="0"/>
            <w:textInput/>
          </w:ffData>
        </w:fldChar>
      </w:r>
      <w:bookmarkStart w:id="15" w:name="Texte13"/>
      <w:r w:rsidR="0031543F">
        <w:rPr>
          <w:rFonts w:eastAsia="Times New Roman" w:cs="Arial"/>
          <w:lang w:eastAsia="fr-FR"/>
        </w:rPr>
        <w:instrText xml:space="preserve"> FORMTEXT </w:instrText>
      </w:r>
      <w:r w:rsidR="0031543F">
        <w:rPr>
          <w:rFonts w:eastAsia="Times New Roman" w:cs="Arial"/>
          <w:lang w:eastAsia="fr-FR"/>
        </w:rPr>
      </w:r>
      <w:r w:rsidR="0031543F">
        <w:rPr>
          <w:rFonts w:eastAsia="Times New Roman" w:cs="Arial"/>
          <w:lang w:eastAsia="fr-FR"/>
        </w:rPr>
        <w:fldChar w:fldCharType="separate"/>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lang w:eastAsia="fr-FR"/>
        </w:rPr>
        <w:fldChar w:fldCharType="end"/>
      </w:r>
      <w:bookmarkEnd w:id="15"/>
    </w:p>
    <w:p w14:paraId="7866A172" w14:textId="0B27538A" w:rsidR="006146DC" w:rsidRPr="0031543F" w:rsidRDefault="006146DC" w:rsidP="006146DC">
      <w:pPr>
        <w:jc w:val="center"/>
        <w:rPr>
          <w:rFonts w:eastAsia="Times New Roman" w:cs="Arial"/>
          <w:lang w:eastAsia="fr-FR"/>
        </w:rPr>
      </w:pPr>
      <w:r w:rsidRPr="0031543F">
        <w:rPr>
          <w:rFonts w:eastAsia="Times New Roman" w:cs="Arial"/>
          <w:lang w:eastAsia="fr-FR"/>
        </w:rPr>
        <w:t>Toque</w:t>
      </w:r>
      <w:r w:rsidR="0031543F">
        <w:rPr>
          <w:rFonts w:eastAsia="Times New Roman" w:cs="Arial"/>
          <w:lang w:eastAsia="fr-FR"/>
        </w:rPr>
        <w:t> :</w:t>
      </w:r>
      <w:r w:rsidRPr="0031543F">
        <w:rPr>
          <w:rFonts w:eastAsia="Times New Roman" w:cs="Arial"/>
          <w:lang w:eastAsia="fr-FR"/>
        </w:rPr>
        <w:t xml:space="preserve"> </w:t>
      </w:r>
      <w:r w:rsidR="0031543F">
        <w:rPr>
          <w:rFonts w:eastAsia="Times New Roman" w:cs="Arial"/>
          <w:lang w:eastAsia="fr-FR"/>
        </w:rPr>
        <w:fldChar w:fldCharType="begin">
          <w:ffData>
            <w:name w:val="Texte14"/>
            <w:enabled/>
            <w:calcOnExit w:val="0"/>
            <w:textInput/>
          </w:ffData>
        </w:fldChar>
      </w:r>
      <w:bookmarkStart w:id="16" w:name="Texte14"/>
      <w:r w:rsidR="0031543F">
        <w:rPr>
          <w:rFonts w:eastAsia="Times New Roman" w:cs="Arial"/>
          <w:lang w:eastAsia="fr-FR"/>
        </w:rPr>
        <w:instrText xml:space="preserve"> FORMTEXT </w:instrText>
      </w:r>
      <w:r w:rsidR="0031543F">
        <w:rPr>
          <w:rFonts w:eastAsia="Times New Roman" w:cs="Arial"/>
          <w:lang w:eastAsia="fr-FR"/>
        </w:rPr>
      </w:r>
      <w:r w:rsidR="0031543F">
        <w:rPr>
          <w:rFonts w:eastAsia="Times New Roman" w:cs="Arial"/>
          <w:lang w:eastAsia="fr-FR"/>
        </w:rPr>
        <w:fldChar w:fldCharType="separate"/>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lang w:eastAsia="fr-FR"/>
        </w:rPr>
        <w:fldChar w:fldCharType="end"/>
      </w:r>
      <w:bookmarkEnd w:id="16"/>
    </w:p>
    <w:p w14:paraId="144C9338" w14:textId="77777777" w:rsidR="006146DC" w:rsidRPr="0031543F" w:rsidRDefault="006146DC" w:rsidP="006146DC">
      <w:pPr>
        <w:jc w:val="left"/>
        <w:rPr>
          <w:rFonts w:eastAsia="Times New Roman" w:cs="Arial"/>
          <w:lang w:eastAsia="fr-FR"/>
        </w:rPr>
      </w:pPr>
    </w:p>
    <w:p w14:paraId="58B8881C" w14:textId="77777777" w:rsidR="006146DC" w:rsidRPr="0031543F" w:rsidRDefault="006146DC" w:rsidP="006146DC">
      <w:pPr>
        <w:jc w:val="left"/>
        <w:rPr>
          <w:rFonts w:eastAsia="Times New Roman" w:cs="Arial"/>
          <w:lang w:eastAsia="fr-FR"/>
        </w:rPr>
      </w:pPr>
    </w:p>
    <w:bookmarkEnd w:id="5"/>
    <w:p w14:paraId="13A1D936" w14:textId="77777777" w:rsidR="006146DC" w:rsidRPr="0031543F" w:rsidRDefault="006146DC" w:rsidP="006146DC">
      <w:pPr>
        <w:rPr>
          <w:rFonts w:eastAsia="Times New Roman" w:cs="Arial"/>
          <w:lang w:eastAsia="fr-FR"/>
        </w:rPr>
      </w:pPr>
    </w:p>
    <w:p w14:paraId="20857F91" w14:textId="320826AA" w:rsidR="002F2109" w:rsidRPr="0031543F" w:rsidRDefault="002F2109" w:rsidP="006146DC">
      <w:pPr>
        <w:rPr>
          <w:rFonts w:eastAsia="Times New Roman" w:cs="Arial"/>
          <w:b/>
          <w:lang w:eastAsia="fr-FR"/>
        </w:rPr>
      </w:pPr>
      <w:r w:rsidRPr="0031543F">
        <w:rPr>
          <w:rFonts w:eastAsia="Times New Roman" w:cs="Arial"/>
          <w:b/>
          <w:lang w:eastAsia="fr-FR"/>
        </w:rPr>
        <w:t>A L’HONNEUR DE VOUS EXPOSER CE QUI SUIT :</w:t>
      </w:r>
    </w:p>
    <w:p w14:paraId="7DC02916" w14:textId="77777777" w:rsidR="002F2109" w:rsidRPr="0031543F" w:rsidRDefault="002F2109" w:rsidP="006146DC">
      <w:pPr>
        <w:rPr>
          <w:rFonts w:eastAsia="Times New Roman" w:cs="Arial"/>
          <w:b/>
          <w:lang w:eastAsia="fr-FR"/>
        </w:rPr>
      </w:pPr>
    </w:p>
    <w:p w14:paraId="4FF52F52" w14:textId="77777777" w:rsidR="002F2109" w:rsidRPr="0031543F" w:rsidRDefault="002F2109" w:rsidP="006146DC">
      <w:pPr>
        <w:rPr>
          <w:rFonts w:eastAsia="Times New Roman" w:cs="Arial"/>
          <w:b/>
          <w:lang w:eastAsia="fr-FR"/>
        </w:rPr>
      </w:pPr>
    </w:p>
    <w:p w14:paraId="0C254039" w14:textId="716AB1E3" w:rsidR="002F2109" w:rsidRPr="0031543F" w:rsidRDefault="002F2109" w:rsidP="00821C94">
      <w:pPr>
        <w:rPr>
          <w:rFonts w:eastAsia="Times New Roman" w:cs="Arial"/>
          <w:lang w:eastAsia="fr-FR"/>
        </w:rPr>
      </w:pPr>
      <w:r w:rsidRPr="0017533C">
        <w:rPr>
          <w:rFonts w:eastAsia="Times New Roman" w:cs="Arial"/>
          <w:highlight w:val="lightGray"/>
          <w:lang w:eastAsia="fr-FR"/>
        </w:rPr>
        <w:t>Madame / Monsieur</w:t>
      </w:r>
      <w:r w:rsidRPr="0031543F">
        <w:rPr>
          <w:rFonts w:eastAsia="Times New Roman" w:cs="Arial"/>
          <w:lang w:eastAsia="fr-FR"/>
        </w:rPr>
        <w:t xml:space="preserve"> </w:t>
      </w:r>
      <w:r w:rsidR="00C4264D">
        <w:rPr>
          <w:rFonts w:eastAsia="Times New Roman" w:cs="Arial"/>
          <w:lang w:eastAsia="fr-FR"/>
        </w:rPr>
        <w:fldChar w:fldCharType="begin">
          <w:ffData>
            <w:name w:val="Texte15"/>
            <w:enabled/>
            <w:calcOnExit w:val="0"/>
            <w:textInput/>
          </w:ffData>
        </w:fldChar>
      </w:r>
      <w:bookmarkStart w:id="17" w:name="Texte15"/>
      <w:r w:rsidR="00C4264D">
        <w:rPr>
          <w:rFonts w:eastAsia="Times New Roman" w:cs="Arial"/>
          <w:lang w:eastAsia="fr-FR"/>
        </w:rPr>
        <w:instrText xml:space="preserve"> FORMTEXT </w:instrText>
      </w:r>
      <w:r w:rsidR="00C4264D">
        <w:rPr>
          <w:rFonts w:eastAsia="Times New Roman" w:cs="Arial"/>
          <w:lang w:eastAsia="fr-FR"/>
        </w:rPr>
      </w:r>
      <w:r w:rsidR="00C4264D">
        <w:rPr>
          <w:rFonts w:eastAsia="Times New Roman" w:cs="Arial"/>
          <w:lang w:eastAsia="fr-FR"/>
        </w:rPr>
        <w:fldChar w:fldCharType="separate"/>
      </w:r>
      <w:r w:rsidR="00C4264D">
        <w:rPr>
          <w:rFonts w:eastAsia="Times New Roman" w:cs="Arial"/>
          <w:noProof/>
          <w:lang w:eastAsia="fr-FR"/>
        </w:rPr>
        <w:t> </w:t>
      </w:r>
      <w:r w:rsidR="00C4264D">
        <w:rPr>
          <w:rFonts w:eastAsia="Times New Roman" w:cs="Arial"/>
          <w:noProof/>
          <w:lang w:eastAsia="fr-FR"/>
        </w:rPr>
        <w:t> </w:t>
      </w:r>
      <w:r w:rsidR="00C4264D">
        <w:rPr>
          <w:rFonts w:eastAsia="Times New Roman" w:cs="Arial"/>
          <w:noProof/>
          <w:lang w:eastAsia="fr-FR"/>
        </w:rPr>
        <w:t> </w:t>
      </w:r>
      <w:r w:rsidR="00C4264D">
        <w:rPr>
          <w:rFonts w:eastAsia="Times New Roman" w:cs="Arial"/>
          <w:noProof/>
          <w:lang w:eastAsia="fr-FR"/>
        </w:rPr>
        <w:t> </w:t>
      </w:r>
      <w:r w:rsidR="00C4264D">
        <w:rPr>
          <w:rFonts w:eastAsia="Times New Roman" w:cs="Arial"/>
          <w:noProof/>
          <w:lang w:eastAsia="fr-FR"/>
        </w:rPr>
        <w:t> </w:t>
      </w:r>
      <w:r w:rsidR="00C4264D">
        <w:rPr>
          <w:rFonts w:eastAsia="Times New Roman" w:cs="Arial"/>
          <w:lang w:eastAsia="fr-FR"/>
        </w:rPr>
        <w:fldChar w:fldCharType="end"/>
      </w:r>
      <w:bookmarkEnd w:id="17"/>
      <w:r w:rsidR="006338E4">
        <w:rPr>
          <w:rFonts w:eastAsia="Times New Roman" w:cs="Arial"/>
          <w:lang w:eastAsia="fr-FR"/>
        </w:rPr>
        <w:t xml:space="preserve"> </w:t>
      </w:r>
      <w:r w:rsidRPr="0031543F">
        <w:rPr>
          <w:rFonts w:eastAsia="Times New Roman" w:cs="Arial"/>
          <w:lang w:eastAsia="fr-FR"/>
        </w:rPr>
        <w:t xml:space="preserve">est </w:t>
      </w:r>
      <w:r w:rsidR="00902D1B" w:rsidRPr="0017533C">
        <w:rPr>
          <w:rFonts w:eastAsia="Times New Roman" w:cs="Arial"/>
          <w:highlight w:val="lightGray"/>
          <w:lang w:eastAsia="fr-FR"/>
        </w:rPr>
        <w:t>mis(e) en examen / prévenu(e) / accusé(e)</w:t>
      </w:r>
      <w:r w:rsidR="00C4264D">
        <w:rPr>
          <w:rFonts w:eastAsia="Times New Roman" w:cs="Arial"/>
          <w:lang w:eastAsia="fr-FR"/>
        </w:rPr>
        <w:t xml:space="preserve"> </w:t>
      </w:r>
      <w:r w:rsidR="00100D3B" w:rsidRPr="0031543F">
        <w:rPr>
          <w:rFonts w:eastAsia="Times New Roman" w:cs="Arial"/>
          <w:lang w:eastAsia="fr-FR"/>
        </w:rPr>
        <w:t>dans la procédure ci-dessus référencée</w:t>
      </w:r>
      <w:r w:rsidR="00C4264D">
        <w:rPr>
          <w:rFonts w:eastAsia="Times New Roman" w:cs="Arial"/>
          <w:lang w:eastAsia="fr-FR"/>
        </w:rPr>
        <w:t>.</w:t>
      </w:r>
    </w:p>
    <w:p w14:paraId="03813F6F" w14:textId="77777777" w:rsidR="00FA2DD2" w:rsidRPr="0031543F" w:rsidRDefault="00FA2DD2" w:rsidP="00FA2DD2">
      <w:pPr>
        <w:rPr>
          <w:rFonts w:eastAsia="Times New Roman" w:cs="Arial"/>
          <w:lang w:eastAsia="fr-FR"/>
        </w:rPr>
      </w:pPr>
    </w:p>
    <w:p w14:paraId="7AF801EB" w14:textId="414B0565" w:rsidR="00FA2DD2" w:rsidRDefault="00FA2DD2" w:rsidP="00FA2DD2">
      <w:pPr>
        <w:rPr>
          <w:rFonts w:eastAsia="Times New Roman" w:cs="Arial"/>
          <w:lang w:eastAsia="fr-FR"/>
        </w:rPr>
      </w:pPr>
      <w:r w:rsidRPr="0031543F">
        <w:rPr>
          <w:rFonts w:eastAsia="Times New Roman" w:cs="Arial"/>
          <w:lang w:eastAsia="fr-FR"/>
        </w:rPr>
        <w:t>Par</w:t>
      </w:r>
      <w:r w:rsidR="00A263B6">
        <w:rPr>
          <w:rFonts w:eastAsia="Times New Roman" w:cs="Arial"/>
          <w:lang w:eastAsia="fr-FR"/>
        </w:rPr>
        <w:t xml:space="preserve"> </w:t>
      </w:r>
      <w:r w:rsidR="00A263B6" w:rsidRPr="0017533C">
        <w:rPr>
          <w:rFonts w:eastAsia="Times New Roman" w:cs="Arial"/>
          <w:highlight w:val="lightGray"/>
          <w:lang w:eastAsia="fr-FR"/>
        </w:rPr>
        <w:t>ordonnance / jugement / arrêt</w:t>
      </w:r>
      <w:r w:rsidR="00A263B6">
        <w:rPr>
          <w:rFonts w:eastAsia="Times New Roman" w:cs="Arial"/>
          <w:lang w:eastAsia="fr-FR"/>
        </w:rPr>
        <w:t xml:space="preserve"> </w:t>
      </w:r>
      <w:r w:rsidRPr="0031543F">
        <w:rPr>
          <w:rFonts w:eastAsia="Times New Roman" w:cs="Arial"/>
          <w:lang w:eastAsia="fr-FR"/>
        </w:rPr>
        <w:t xml:space="preserve">en date du </w:t>
      </w:r>
      <w:r w:rsidR="006338E4">
        <w:rPr>
          <w:rFonts w:eastAsia="Times New Roman" w:cs="Arial"/>
          <w:lang w:eastAsia="fr-FR"/>
        </w:rPr>
        <w:fldChar w:fldCharType="begin">
          <w:ffData>
            <w:name w:val="Texte16"/>
            <w:enabled/>
            <w:calcOnExit w:val="0"/>
            <w:textInput/>
          </w:ffData>
        </w:fldChar>
      </w:r>
      <w:bookmarkStart w:id="18" w:name="Texte16"/>
      <w:r w:rsidR="006338E4">
        <w:rPr>
          <w:rFonts w:eastAsia="Times New Roman" w:cs="Arial"/>
          <w:lang w:eastAsia="fr-FR"/>
        </w:rPr>
        <w:instrText xml:space="preserve"> FORMTEXT </w:instrText>
      </w:r>
      <w:r w:rsidR="006338E4">
        <w:rPr>
          <w:rFonts w:eastAsia="Times New Roman" w:cs="Arial"/>
          <w:lang w:eastAsia="fr-FR"/>
        </w:rPr>
      </w:r>
      <w:r w:rsidR="006338E4">
        <w:rPr>
          <w:rFonts w:eastAsia="Times New Roman" w:cs="Arial"/>
          <w:lang w:eastAsia="fr-FR"/>
        </w:rPr>
        <w:fldChar w:fldCharType="separate"/>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lang w:eastAsia="fr-FR"/>
        </w:rPr>
        <w:fldChar w:fldCharType="end"/>
      </w:r>
      <w:bookmarkEnd w:id="18"/>
      <w:r w:rsidRPr="0031543F">
        <w:rPr>
          <w:rFonts w:eastAsia="Times New Roman" w:cs="Arial"/>
          <w:lang w:eastAsia="fr-FR"/>
        </w:rPr>
        <w:t xml:space="preserve">, </w:t>
      </w:r>
      <w:r w:rsidRPr="0017533C">
        <w:rPr>
          <w:rFonts w:eastAsia="Times New Roman" w:cs="Arial"/>
          <w:highlight w:val="lightGray"/>
          <w:lang w:eastAsia="fr-FR"/>
        </w:rPr>
        <w:t>Madame / Monsieur</w:t>
      </w:r>
      <w:r w:rsidRPr="0031543F">
        <w:rPr>
          <w:rFonts w:eastAsia="Times New Roman" w:cs="Arial"/>
          <w:lang w:eastAsia="fr-FR"/>
        </w:rPr>
        <w:t xml:space="preserve"> </w:t>
      </w:r>
      <w:r w:rsidR="006338E4">
        <w:rPr>
          <w:rFonts w:eastAsia="Times New Roman" w:cs="Arial"/>
          <w:lang w:eastAsia="fr-FR"/>
        </w:rPr>
        <w:fldChar w:fldCharType="begin">
          <w:ffData>
            <w:name w:val="Texte17"/>
            <w:enabled/>
            <w:calcOnExit w:val="0"/>
            <w:textInput/>
          </w:ffData>
        </w:fldChar>
      </w:r>
      <w:bookmarkStart w:id="19" w:name="Texte17"/>
      <w:r w:rsidR="006338E4">
        <w:rPr>
          <w:rFonts w:eastAsia="Times New Roman" w:cs="Arial"/>
          <w:lang w:eastAsia="fr-FR"/>
        </w:rPr>
        <w:instrText xml:space="preserve"> FORMTEXT </w:instrText>
      </w:r>
      <w:r w:rsidR="006338E4">
        <w:rPr>
          <w:rFonts w:eastAsia="Times New Roman" w:cs="Arial"/>
          <w:lang w:eastAsia="fr-FR"/>
        </w:rPr>
      </w:r>
      <w:r w:rsidR="006338E4">
        <w:rPr>
          <w:rFonts w:eastAsia="Times New Roman" w:cs="Arial"/>
          <w:lang w:eastAsia="fr-FR"/>
        </w:rPr>
        <w:fldChar w:fldCharType="separate"/>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lang w:eastAsia="fr-FR"/>
        </w:rPr>
        <w:fldChar w:fldCharType="end"/>
      </w:r>
      <w:bookmarkEnd w:id="19"/>
      <w:r w:rsidR="006338E4">
        <w:rPr>
          <w:rFonts w:eastAsia="Times New Roman" w:cs="Arial"/>
          <w:lang w:eastAsia="fr-FR"/>
        </w:rPr>
        <w:t xml:space="preserve"> </w:t>
      </w:r>
      <w:r w:rsidRPr="0031543F">
        <w:rPr>
          <w:rFonts w:eastAsia="Times New Roman" w:cs="Arial"/>
          <w:lang w:eastAsia="fr-FR"/>
        </w:rPr>
        <w:t xml:space="preserve">a été </w:t>
      </w:r>
      <w:r w:rsidRPr="0017533C">
        <w:rPr>
          <w:rFonts w:eastAsia="Times New Roman" w:cs="Arial"/>
          <w:highlight w:val="lightGray"/>
          <w:lang w:eastAsia="fr-FR"/>
        </w:rPr>
        <w:t>placé(e)</w:t>
      </w:r>
      <w:r w:rsidRPr="0031543F">
        <w:rPr>
          <w:rFonts w:eastAsia="Times New Roman" w:cs="Arial"/>
          <w:lang w:eastAsia="fr-FR"/>
        </w:rPr>
        <w:t xml:space="preserve"> en </w:t>
      </w:r>
      <w:r w:rsidR="00821C94" w:rsidRPr="0031543F">
        <w:rPr>
          <w:rFonts w:eastAsia="Times New Roman" w:cs="Arial"/>
          <w:lang w:eastAsia="fr-FR"/>
        </w:rPr>
        <w:t xml:space="preserve">détention provisoire et </w:t>
      </w:r>
      <w:r w:rsidR="00821C94" w:rsidRPr="0017533C">
        <w:rPr>
          <w:rFonts w:eastAsia="Times New Roman" w:cs="Arial"/>
          <w:highlight w:val="lightGray"/>
          <w:lang w:eastAsia="fr-FR"/>
        </w:rPr>
        <w:t>incarcéré</w:t>
      </w:r>
      <w:r w:rsidR="0017533C" w:rsidRPr="0017533C">
        <w:rPr>
          <w:rFonts w:eastAsia="Times New Roman" w:cs="Arial"/>
          <w:highlight w:val="lightGray"/>
          <w:lang w:eastAsia="fr-FR"/>
        </w:rPr>
        <w:t>(e)</w:t>
      </w:r>
      <w:r w:rsidR="00821C94" w:rsidRPr="0031543F">
        <w:rPr>
          <w:rFonts w:eastAsia="Times New Roman" w:cs="Arial"/>
          <w:lang w:eastAsia="fr-FR"/>
        </w:rPr>
        <w:t xml:space="preserve"> </w:t>
      </w:r>
      <w:r w:rsidR="00A33E30" w:rsidRPr="00DD34AD">
        <w:rPr>
          <w:rFonts w:eastAsia="Times New Roman" w:cs="Arial"/>
          <w:highlight w:val="lightGray"/>
          <w:lang w:eastAsia="fr-FR"/>
        </w:rPr>
        <w:t>à</w:t>
      </w:r>
      <w:r w:rsidR="00DD34AD" w:rsidRPr="00DD34AD">
        <w:rPr>
          <w:rFonts w:eastAsia="Times New Roman" w:cs="Arial"/>
          <w:highlight w:val="lightGray"/>
          <w:lang w:eastAsia="fr-FR"/>
        </w:rPr>
        <w:t xml:space="preserve"> / au</w:t>
      </w:r>
      <w:r w:rsidR="006338E4">
        <w:rPr>
          <w:rFonts w:eastAsia="Times New Roman" w:cs="Arial"/>
          <w:lang w:eastAsia="fr-FR"/>
        </w:rPr>
        <w:t xml:space="preserve"> </w:t>
      </w:r>
      <w:r w:rsidR="006338E4">
        <w:rPr>
          <w:rFonts w:eastAsia="Times New Roman" w:cs="Arial"/>
          <w:lang w:eastAsia="fr-FR"/>
        </w:rPr>
        <w:fldChar w:fldCharType="begin">
          <w:ffData>
            <w:name w:val="Texte18"/>
            <w:enabled/>
            <w:calcOnExit w:val="0"/>
            <w:textInput/>
          </w:ffData>
        </w:fldChar>
      </w:r>
      <w:bookmarkStart w:id="20" w:name="Texte18"/>
      <w:r w:rsidR="006338E4">
        <w:rPr>
          <w:rFonts w:eastAsia="Times New Roman" w:cs="Arial"/>
          <w:lang w:eastAsia="fr-FR"/>
        </w:rPr>
        <w:instrText xml:space="preserve"> FORMTEXT </w:instrText>
      </w:r>
      <w:r w:rsidR="006338E4">
        <w:rPr>
          <w:rFonts w:eastAsia="Times New Roman" w:cs="Arial"/>
          <w:lang w:eastAsia="fr-FR"/>
        </w:rPr>
      </w:r>
      <w:r w:rsidR="006338E4">
        <w:rPr>
          <w:rFonts w:eastAsia="Times New Roman" w:cs="Arial"/>
          <w:lang w:eastAsia="fr-FR"/>
        </w:rPr>
        <w:fldChar w:fldCharType="separate"/>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lang w:eastAsia="fr-FR"/>
        </w:rPr>
        <w:fldChar w:fldCharType="end"/>
      </w:r>
      <w:bookmarkEnd w:id="20"/>
      <w:r w:rsidR="00A33E30" w:rsidRPr="0031543F">
        <w:rPr>
          <w:rFonts w:eastAsia="Times New Roman" w:cs="Arial"/>
          <w:lang w:eastAsia="fr-FR"/>
        </w:rPr>
        <w:t>.</w:t>
      </w:r>
    </w:p>
    <w:p w14:paraId="4562265B" w14:textId="77777777" w:rsidR="006338E4" w:rsidRDefault="006338E4" w:rsidP="00FA2DD2">
      <w:pPr>
        <w:rPr>
          <w:rFonts w:eastAsia="Times New Roman" w:cs="Arial"/>
          <w:lang w:eastAsia="fr-FR"/>
        </w:rPr>
      </w:pPr>
    </w:p>
    <w:p w14:paraId="74DF7E62" w14:textId="2EB97AB0" w:rsidR="006338E4" w:rsidRDefault="006338E4" w:rsidP="00FA2DD2">
      <w:pPr>
        <w:rPr>
          <w:rFonts w:eastAsia="Times New Roman" w:cs="Arial"/>
          <w:lang w:eastAsia="fr-FR"/>
        </w:rPr>
      </w:pPr>
      <w:r>
        <w:rPr>
          <w:rFonts w:eastAsia="Times New Roman" w:cs="Arial"/>
          <w:lang w:eastAsia="fr-FR"/>
        </w:rPr>
        <w:t xml:space="preserve">Par la présente, et en application de l’article 148 du Code de procédure pénale, </w:t>
      </w:r>
      <w:r w:rsidRPr="0017533C">
        <w:rPr>
          <w:rFonts w:eastAsia="Times New Roman" w:cs="Arial"/>
          <w:highlight w:val="lightGray"/>
          <w:lang w:eastAsia="fr-FR"/>
        </w:rPr>
        <w:t>il / elle</w:t>
      </w:r>
      <w:r>
        <w:rPr>
          <w:rFonts w:eastAsia="Times New Roman" w:cs="Arial"/>
          <w:lang w:eastAsia="fr-FR"/>
        </w:rPr>
        <w:t xml:space="preserve"> sollicite sa remise en liberté </w:t>
      </w:r>
      <w:r w:rsidR="00D413C4">
        <w:rPr>
          <w:rFonts w:eastAsia="Times New Roman" w:cs="Arial"/>
          <w:lang w:eastAsia="fr-FR"/>
        </w:rPr>
        <w:t>immédiate.</w:t>
      </w:r>
    </w:p>
    <w:p w14:paraId="5A093816" w14:textId="77777777" w:rsidR="00D413C4" w:rsidRDefault="00D413C4" w:rsidP="00FA2DD2">
      <w:pPr>
        <w:rPr>
          <w:rFonts w:eastAsia="Times New Roman" w:cs="Arial"/>
          <w:lang w:eastAsia="fr-FR"/>
        </w:rPr>
      </w:pPr>
    </w:p>
    <w:p w14:paraId="33064AC5" w14:textId="49BF9A82" w:rsidR="00100D3B" w:rsidRPr="004944F8" w:rsidRDefault="00D413C4" w:rsidP="006146DC">
      <w:pPr>
        <w:rPr>
          <w:rFonts w:eastAsia="Times New Roman" w:cs="Arial"/>
          <w:b/>
          <w:bCs/>
          <w:lang w:eastAsia="fr-FR"/>
        </w:rPr>
      </w:pPr>
      <w:r w:rsidRPr="004944F8">
        <w:rPr>
          <w:rFonts w:eastAsia="Times New Roman" w:cs="Arial"/>
          <w:b/>
          <w:bCs/>
          <w:highlight w:val="lightGray"/>
          <w:lang w:eastAsia="fr-FR"/>
        </w:rPr>
        <w:t>Il / elle</w:t>
      </w:r>
      <w:r w:rsidRPr="004944F8">
        <w:rPr>
          <w:rFonts w:eastAsia="Times New Roman" w:cs="Arial"/>
          <w:b/>
          <w:bCs/>
          <w:lang w:eastAsia="fr-FR"/>
        </w:rPr>
        <w:t xml:space="preserve"> considère, d’une part, que les conditions de détention qui lui sont imposées sont contraires à l’article 3 de la Convention européenne de sauvegarde des droits de l’homme et, d’autre part, que les critères de l’article 144 du Code de procédure pénale ne sont plus réunies.</w:t>
      </w:r>
    </w:p>
    <w:p w14:paraId="29F9F4D3" w14:textId="77777777" w:rsidR="00100D3B" w:rsidRPr="0031543F" w:rsidRDefault="00100D3B" w:rsidP="006146DC">
      <w:pPr>
        <w:rPr>
          <w:rFonts w:eastAsia="Times New Roman" w:cs="Arial"/>
          <w:lang w:eastAsia="fr-FR"/>
        </w:rPr>
        <w:sectPr w:rsidR="00100D3B" w:rsidRPr="0031543F" w:rsidSect="00C74AD2">
          <w:footerReference w:type="even" r:id="rId8"/>
          <w:footerReference w:type="default" r:id="rId9"/>
          <w:pgSz w:w="11900" w:h="16840"/>
          <w:pgMar w:top="1417" w:right="1417" w:bottom="1417" w:left="1417" w:header="708" w:footer="708" w:gutter="0"/>
          <w:cols w:space="708"/>
          <w:docGrid w:linePitch="360"/>
        </w:sectPr>
      </w:pPr>
    </w:p>
    <w:p w14:paraId="4F1AA98F" w14:textId="14186E35" w:rsidR="006146DC" w:rsidRDefault="00D413C4" w:rsidP="006146DC">
      <w:pPr>
        <w:pStyle w:val="Titre1"/>
        <w:numPr>
          <w:ilvl w:val="0"/>
          <w:numId w:val="12"/>
        </w:numPr>
      </w:pPr>
      <w:r>
        <w:lastRenderedPageBreak/>
        <w:t>sur la violation de l’article 3 de la convention européenne de sauvagrde des droits de l’homme</w:t>
      </w:r>
    </w:p>
    <w:p w14:paraId="298279B5" w14:textId="77777777" w:rsidR="000C60F4" w:rsidRDefault="000C60F4" w:rsidP="006146DC"/>
    <w:p w14:paraId="3CC4CE76" w14:textId="362EEADE" w:rsidR="001746AD" w:rsidRDefault="009E1A5B" w:rsidP="001746AD">
      <w:r>
        <w:t>P</w:t>
      </w:r>
      <w:r w:rsidR="001746AD">
        <w:t>ar un arrêt de la Chambre criminelle en date du 8 juillet 2020 (n°20-81.739), la Cour de cassation a solennellement affirmé que :</w:t>
      </w:r>
    </w:p>
    <w:p w14:paraId="65315E41" w14:textId="77777777" w:rsidR="001746AD" w:rsidRDefault="001746AD" w:rsidP="001746AD"/>
    <w:p w14:paraId="31F9D834" w14:textId="77777777" w:rsidR="001746AD" w:rsidRPr="00C06A80" w:rsidRDefault="001746AD" w:rsidP="001746AD">
      <w:pPr>
        <w:ind w:left="567" w:right="561"/>
        <w:rPr>
          <w:i/>
        </w:rPr>
      </w:pPr>
      <w:r w:rsidRPr="00C06A80">
        <w:rPr>
          <w:i/>
        </w:rPr>
        <w:t>« Le juge judiciaire a l’obligation de garantir à la personne placée dans des conditions indignes de détention un recours préventif et effectif permettant d’empêcher la continuation de la violation de l’article 3 de la Convention.</w:t>
      </w:r>
    </w:p>
    <w:p w14:paraId="58E80EA4" w14:textId="77777777" w:rsidR="001746AD" w:rsidRPr="00C06A80" w:rsidRDefault="001746AD" w:rsidP="001746AD">
      <w:pPr>
        <w:ind w:left="567" w:right="561"/>
        <w:rPr>
          <w:i/>
        </w:rPr>
      </w:pPr>
    </w:p>
    <w:p w14:paraId="59869BEB" w14:textId="77777777" w:rsidR="001746AD" w:rsidRPr="00C06A80" w:rsidRDefault="001746AD" w:rsidP="001746AD">
      <w:pPr>
        <w:ind w:left="567" w:right="561"/>
        <w:rPr>
          <w:i/>
        </w:rPr>
      </w:pPr>
      <w:r w:rsidRPr="00C06A80">
        <w:rPr>
          <w:i/>
        </w:rPr>
        <w:t>En tant que gardien de la liberté individuelle, il lui incombe de veiller à ce que la détention provisoire soit, en toutes circonstances, mise en œuvre dans des conditions respectant la dignité des personnes et de s’assurer que cette privation de liberté est exempte de tout traitement inhumain et dégradant.</w:t>
      </w:r>
    </w:p>
    <w:p w14:paraId="1C186742" w14:textId="77777777" w:rsidR="001746AD" w:rsidRPr="00C06A80" w:rsidRDefault="001746AD" w:rsidP="001746AD">
      <w:pPr>
        <w:ind w:left="567" w:right="561"/>
        <w:rPr>
          <w:i/>
        </w:rPr>
      </w:pPr>
    </w:p>
    <w:p w14:paraId="6F3DFD21" w14:textId="77777777" w:rsidR="001746AD" w:rsidRPr="00C06A80" w:rsidRDefault="001746AD" w:rsidP="001746AD">
      <w:pPr>
        <w:ind w:left="567" w:right="561"/>
        <w:rPr>
          <w:i/>
        </w:rPr>
      </w:pPr>
      <w:r w:rsidRPr="00C06A80">
        <w:rPr>
          <w:i/>
        </w:rPr>
        <w:t xml:space="preserve">Il résulte de ce qui précède que, </w:t>
      </w:r>
      <w:r w:rsidRPr="00892E94">
        <w:rPr>
          <w:i/>
          <w:u w:val="single"/>
        </w:rPr>
        <w:t>lorsque la description faite par le demandeur de ses conditions personnelles de détention est suffisamment crédible, précise et actuelle, de sorte qu’elle constitue un commencement de preuve de leur caractère indigne</w:t>
      </w:r>
      <w:r w:rsidRPr="00C06A80">
        <w:rPr>
          <w:i/>
        </w:rPr>
        <w:t>, il appartient alors à la chambre de l’instruction, dans le cas où le ministère public n’aurait pas préalablement fait vérifier ces allégations, et en dehors du pouvoir qu’elle détient d’ordonner la mise en liberté de l’intéressé, de faire procéder à des vérifications complémentaires afin d’en apprécier la réalité.</w:t>
      </w:r>
    </w:p>
    <w:p w14:paraId="3824D6FF" w14:textId="77777777" w:rsidR="001746AD" w:rsidRPr="00C06A80" w:rsidRDefault="001746AD" w:rsidP="001746AD">
      <w:pPr>
        <w:ind w:left="567" w:right="561"/>
        <w:rPr>
          <w:i/>
        </w:rPr>
      </w:pPr>
    </w:p>
    <w:p w14:paraId="7858BFC9" w14:textId="77777777" w:rsidR="001746AD" w:rsidRPr="00C06A80" w:rsidRDefault="001746AD" w:rsidP="001746AD">
      <w:pPr>
        <w:ind w:left="567" w:right="561"/>
        <w:rPr>
          <w:i/>
        </w:rPr>
      </w:pPr>
      <w:r w:rsidRPr="00C06A80">
        <w:rPr>
          <w:i/>
        </w:rPr>
        <w:t xml:space="preserve">Après que ces vérifications ont été effectuées, dans le cas où la chambre de l’instruction constate </w:t>
      </w:r>
      <w:r w:rsidRPr="00892E94">
        <w:rPr>
          <w:i/>
          <w:u w:val="single"/>
        </w:rPr>
        <w:t>une atteinte au principe de dignité à laquelle il n’a pas entre-temps été remédié, elle doit ordonner la mise en liberté de la personne</w:t>
      </w:r>
      <w:r w:rsidRPr="00C06A80">
        <w:rPr>
          <w:i/>
        </w:rPr>
        <w:t>, en l’astreignant, le cas échéant, à une assignation à résidence avec surveillance électronique ou à un contrôle judiciaire. »</w:t>
      </w:r>
    </w:p>
    <w:p w14:paraId="7FC28956" w14:textId="77777777" w:rsidR="001746AD" w:rsidRDefault="001746AD" w:rsidP="001746AD"/>
    <w:p w14:paraId="651BAA3E" w14:textId="44A47859" w:rsidR="001746AD" w:rsidRDefault="001746AD" w:rsidP="001746AD">
      <w:r>
        <w:t xml:space="preserve">La Cour de cassation tire ainsi les justes </w:t>
      </w:r>
      <w:r w:rsidR="00061C04">
        <w:t>conclusions</w:t>
      </w:r>
      <w:r>
        <w:t xml:space="preserve"> de la condamnation européenne de la France, le 30 janvier 2020, </w:t>
      </w:r>
      <w:r w:rsidRPr="00A263B6">
        <w:t xml:space="preserve">pour des conditions de détention </w:t>
      </w:r>
      <w:r>
        <w:t>indignes</w:t>
      </w:r>
      <w:r w:rsidRPr="00A263B6">
        <w:t xml:space="preserve"> dan</w:t>
      </w:r>
      <w:r>
        <w:t xml:space="preserve">s divers établissements pénitentiaires (CEDH, 30 janvier 2020, </w:t>
      </w:r>
      <w:r w:rsidRPr="00A263B6">
        <w:rPr>
          <w:i/>
        </w:rPr>
        <w:t>JMB et autres c. France</w:t>
      </w:r>
      <w:r>
        <w:t>, n°</w:t>
      </w:r>
      <w:r w:rsidRPr="00A263B6">
        <w:t>9671/15 et 31 autres)</w:t>
      </w:r>
      <w:r>
        <w:t xml:space="preserve"> et </w:t>
      </w:r>
      <w:r w:rsidR="009E1A5B">
        <w:t>invite</w:t>
      </w:r>
      <w:r>
        <w:t xml:space="preserve"> </w:t>
      </w:r>
      <w:r w:rsidR="00742BD0">
        <w:t>l</w:t>
      </w:r>
      <w:r>
        <w:t xml:space="preserve">es juridictions nationales </w:t>
      </w:r>
      <w:r w:rsidR="00742BD0">
        <w:t>à prêter</w:t>
      </w:r>
      <w:r w:rsidR="009E1A5B">
        <w:t xml:space="preserve"> attention aux griefs soulevés par les personnes détenues.</w:t>
      </w:r>
    </w:p>
    <w:p w14:paraId="54B9E0CE" w14:textId="77777777" w:rsidR="009E1A5B" w:rsidRDefault="009E1A5B" w:rsidP="001746AD"/>
    <w:p w14:paraId="58C609B7" w14:textId="50E22C44" w:rsidR="009E1A5B" w:rsidRDefault="009E1A5B" w:rsidP="001746AD">
      <w:r>
        <w:t xml:space="preserve">Cette décision exige plus encore qu’elles fassent prévaloir le respect des droits fondamentaux </w:t>
      </w:r>
      <w:r w:rsidR="00061C04">
        <w:t>sur les</w:t>
      </w:r>
      <w:r>
        <w:t xml:space="preserve"> critères de l’article 144 du Code de procédure pénale fondant le maintien en détention provisoire.</w:t>
      </w:r>
    </w:p>
    <w:p w14:paraId="45D94F52" w14:textId="77777777" w:rsidR="001746AD" w:rsidRDefault="001746AD" w:rsidP="006146DC"/>
    <w:p w14:paraId="5756FB1B" w14:textId="16AF8EEB" w:rsidR="009E1A5B" w:rsidRPr="001C1255" w:rsidRDefault="009E1A5B" w:rsidP="006146DC">
      <w:pPr>
        <w:rPr>
          <w:b/>
        </w:rPr>
      </w:pPr>
      <w:r w:rsidRPr="001C1255">
        <w:rPr>
          <w:b/>
        </w:rPr>
        <w:t>Dans ces conditions, il importe de rappeler les principes généraux de la Convention</w:t>
      </w:r>
      <w:r w:rsidR="001C1255" w:rsidRPr="001C1255">
        <w:rPr>
          <w:b/>
        </w:rPr>
        <w:t xml:space="preserve"> et de la Cour</w:t>
      </w:r>
      <w:r w:rsidRPr="001C1255">
        <w:rPr>
          <w:b/>
        </w:rPr>
        <w:t xml:space="preserve"> européenne des droits de l’Homme</w:t>
      </w:r>
      <w:r w:rsidR="001C1255">
        <w:rPr>
          <w:b/>
        </w:rPr>
        <w:t xml:space="preserve"> en matière de privation de liberté</w:t>
      </w:r>
      <w:r w:rsidR="001C1255" w:rsidRPr="001C1255">
        <w:rPr>
          <w:b/>
        </w:rPr>
        <w:t>, avant de développer leurs positions quant à la surpopulation carcérale.</w:t>
      </w:r>
    </w:p>
    <w:p w14:paraId="05F17D62" w14:textId="77777777" w:rsidR="001C1255" w:rsidRDefault="001C1255" w:rsidP="006146DC"/>
    <w:p w14:paraId="13073601" w14:textId="3AAA5851" w:rsidR="001C1255" w:rsidRDefault="005548A3" w:rsidP="006146DC">
      <w:r>
        <w:rPr>
          <w:highlight w:val="yellow"/>
        </w:rPr>
        <w:t>[Le cas échéant, insé</w:t>
      </w:r>
      <w:r w:rsidRPr="009F614D">
        <w:rPr>
          <w:highlight w:val="yellow"/>
        </w:rPr>
        <w:t>rer une annonce sur toute autre situation a l’origine d’une violation des droits de la personne détenue]</w:t>
      </w:r>
    </w:p>
    <w:p w14:paraId="0315F39C" w14:textId="77777777" w:rsidR="00DD1EBA" w:rsidRDefault="00DD1EBA" w:rsidP="006146DC"/>
    <w:p w14:paraId="5EAB54A4" w14:textId="6784C65D" w:rsidR="000C4731" w:rsidRDefault="000C60F4" w:rsidP="001C1255">
      <w:pPr>
        <w:pStyle w:val="Titre2"/>
      </w:pPr>
      <w:r>
        <w:t xml:space="preserve">Les principes </w:t>
      </w:r>
      <w:r w:rsidR="00451536">
        <w:t>généraux de la Convention et de la Cour européenne des droits de l’Homme</w:t>
      </w:r>
    </w:p>
    <w:p w14:paraId="237D3AD8" w14:textId="77777777" w:rsidR="00597B6E" w:rsidRDefault="00597B6E" w:rsidP="006E5849"/>
    <w:p w14:paraId="16B86F6A" w14:textId="77777777" w:rsidR="009E1A5B" w:rsidRPr="0031543F" w:rsidRDefault="009E1A5B" w:rsidP="009E1A5B">
      <w:r>
        <w:t>L’article 3 de la Convention européenne de sauvegarde des droits de l’Homme prescrit que </w:t>
      </w:r>
      <w:r w:rsidRPr="00743C0C">
        <w:rPr>
          <w:i/>
        </w:rPr>
        <w:t xml:space="preserve">« nul ne peut être soumis </w:t>
      </w:r>
      <w:r w:rsidRPr="00743C0C">
        <w:rPr>
          <w:rFonts w:ascii="Calibri" w:eastAsia="Calibri" w:hAnsi="Calibri" w:cs="Calibri"/>
          <w:i/>
        </w:rPr>
        <w:t>à</w:t>
      </w:r>
      <w:r w:rsidRPr="00743C0C">
        <w:rPr>
          <w:i/>
        </w:rPr>
        <w:t xml:space="preserve"> la torture ni </w:t>
      </w:r>
      <w:r w:rsidRPr="00743C0C">
        <w:rPr>
          <w:rFonts w:ascii="Calibri" w:eastAsia="Calibri" w:hAnsi="Calibri" w:cs="Calibri"/>
          <w:i/>
        </w:rPr>
        <w:t>à</w:t>
      </w:r>
      <w:r w:rsidRPr="00743C0C">
        <w:rPr>
          <w:i/>
        </w:rPr>
        <w:t xml:space="preserve"> des peines ou traitements inhumains ou dégradants »</w:t>
      </w:r>
      <w:r w:rsidRPr="00902D1B">
        <w:t>.</w:t>
      </w:r>
    </w:p>
    <w:p w14:paraId="3C96E5FD" w14:textId="77777777" w:rsidR="009E1A5B" w:rsidRDefault="009E1A5B" w:rsidP="009E1A5B"/>
    <w:p w14:paraId="0401E265" w14:textId="77777777" w:rsidR="009E1A5B" w:rsidRDefault="009E1A5B" w:rsidP="009E1A5B">
      <w:r>
        <w:lastRenderedPageBreak/>
        <w:t xml:space="preserve">Il </w:t>
      </w:r>
      <w:r w:rsidRPr="00F459FF">
        <w:t>consacre l’une des valeurs</w:t>
      </w:r>
      <w:r>
        <w:t xml:space="preserve"> les plus fondamentales des sociétés dé</w:t>
      </w:r>
      <w:r w:rsidRPr="00F459FF">
        <w:t>mocratiques. Il prohibe en termes absolus la torture et les peines</w:t>
      </w:r>
      <w:r>
        <w:t xml:space="preserve"> ou traitements inhumains ou dé</w:t>
      </w:r>
      <w:r w:rsidRPr="00F459FF">
        <w:t>gradants, quels que soient les circonstances et le comportement de la victime</w:t>
      </w:r>
      <w:r>
        <w:t>.</w:t>
      </w:r>
    </w:p>
    <w:p w14:paraId="40F51F24" w14:textId="77777777" w:rsidR="009E1A5B" w:rsidRDefault="009E1A5B" w:rsidP="006E5849"/>
    <w:p w14:paraId="5C17C848" w14:textId="379682E1" w:rsidR="006E5849" w:rsidRDefault="000C60F4" w:rsidP="006E5849">
      <w:r>
        <w:t>La Cour européenne des droits de l’homme affirme régulièrement que l</w:t>
      </w:r>
      <w:r w:rsidR="006E5849" w:rsidRPr="006E5849">
        <w:t>’interdiction de la torture et des peines et traitements inhumains ou dégradants est une valeur de civilisation étroitement liée au respect de la dignité humaine (</w:t>
      </w:r>
      <w:r w:rsidR="006E5849">
        <w:t xml:space="preserve">CEDH </w:t>
      </w:r>
      <w:r>
        <w:t>GC</w:t>
      </w:r>
      <w:r w:rsidR="006E5849">
        <w:t xml:space="preserve">, 28 septembre 2015, </w:t>
      </w:r>
      <w:r w:rsidR="006E5849" w:rsidRPr="006E5849">
        <w:rPr>
          <w:i/>
          <w:iCs/>
        </w:rPr>
        <w:t>Bouyid c. Belgique</w:t>
      </w:r>
      <w:r w:rsidR="006E5849">
        <w:rPr>
          <w:iCs/>
        </w:rPr>
        <w:t>, n°</w:t>
      </w:r>
      <w:r w:rsidR="006E5849" w:rsidRPr="006E5849">
        <w:t>23380</w:t>
      </w:r>
      <w:r w:rsidR="006E5849">
        <w:t>/09, §81).</w:t>
      </w:r>
    </w:p>
    <w:p w14:paraId="44C8731F" w14:textId="77777777" w:rsidR="006E5849" w:rsidRDefault="006E5849" w:rsidP="006E5849"/>
    <w:p w14:paraId="459D06E9" w14:textId="0D1F1EC2" w:rsidR="000C4731" w:rsidRDefault="000C4731" w:rsidP="000C4731">
      <w:r w:rsidRPr="000C4731">
        <w:t>Le fait que les ma</w:t>
      </w:r>
      <w:r w:rsidR="00061C04">
        <w:t>uvaises conditions subies par la personne</w:t>
      </w:r>
      <w:r w:rsidRPr="000C4731">
        <w:t xml:space="preserve"> détenu</w:t>
      </w:r>
      <w:r w:rsidR="00061C04">
        <w:t>e</w:t>
      </w:r>
      <w:r w:rsidRPr="000C4731">
        <w:t xml:space="preserve"> ne soient pas imputables à une intention de l</w:t>
      </w:r>
      <w:r w:rsidR="00061C04">
        <w:t>’humilier ou de la</w:t>
      </w:r>
      <w:r w:rsidRPr="000C4731">
        <w:t xml:space="preserve"> rabaisser doit être pris en compte mais n’exclut pas de façon définitive un constat de violation </w:t>
      </w:r>
      <w:r w:rsidR="00061C04">
        <w:t xml:space="preserve">de l’article 3 </w:t>
      </w:r>
      <w:r w:rsidR="0003142D">
        <w:t xml:space="preserve">(CEDH, 19 avril 2001, </w:t>
      </w:r>
      <w:r w:rsidR="0003142D" w:rsidRPr="0003142D">
        <w:rPr>
          <w:i/>
        </w:rPr>
        <w:t>Peers c. Grè</w:t>
      </w:r>
      <w:r w:rsidR="000C60F4" w:rsidRPr="0003142D">
        <w:rPr>
          <w:i/>
        </w:rPr>
        <w:t>ce</w:t>
      </w:r>
      <w:r w:rsidR="0003142D">
        <w:t>, n°28524/95, §74)</w:t>
      </w:r>
      <w:r>
        <w:t>.</w:t>
      </w:r>
    </w:p>
    <w:p w14:paraId="6D9343CD" w14:textId="77777777" w:rsidR="000C4731" w:rsidRDefault="000C4731" w:rsidP="006E5849"/>
    <w:p w14:paraId="211A31B7" w14:textId="5017E7B1" w:rsidR="00C43C5C" w:rsidRPr="00C43C5C" w:rsidRDefault="00C43C5C" w:rsidP="00C43C5C">
      <w:r>
        <w:t>Dans c</w:t>
      </w:r>
      <w:r w:rsidR="000C4731">
        <w:t xml:space="preserve">es conditions, il appartient aux États </w:t>
      </w:r>
      <w:r>
        <w:t>de</w:t>
      </w:r>
      <w:r w:rsidRPr="00C43C5C">
        <w:t xml:space="preserve"> s’assurer que tout prisonnier est détenu dans des conditions compatibles avec le respect de la dignité humaine, que les modalités d’exécution de la mesure ne soumettent pas l’intéressé à une épreuve d’une intensité qui excède le niveau de souffrance </w:t>
      </w:r>
      <w:r w:rsidR="0003142D">
        <w:t xml:space="preserve">inhérent à la détention et que </w:t>
      </w:r>
      <w:r w:rsidRPr="00C43C5C">
        <w:t>la santé et le bien-être du prisonnier sont assurés de manière adéquate (</w:t>
      </w:r>
      <w:r>
        <w:t xml:space="preserve">CEDH </w:t>
      </w:r>
      <w:r w:rsidR="000C60F4">
        <w:t>GC</w:t>
      </w:r>
      <w:r>
        <w:t xml:space="preserve">, 26 octobre 2000, </w:t>
      </w:r>
      <w:r w:rsidRPr="00C43C5C">
        <w:rPr>
          <w:i/>
          <w:iCs/>
        </w:rPr>
        <w:t>Kud</w:t>
      </w:r>
      <w:r w:rsidRPr="00C43C5C">
        <w:rPr>
          <w:rFonts w:ascii="Calibri" w:eastAsia="Calibri" w:hAnsi="Calibri" w:cs="Calibri"/>
          <w:i/>
          <w:iCs/>
        </w:rPr>
        <w:t>ł</w:t>
      </w:r>
      <w:r w:rsidRPr="00C43C5C">
        <w:rPr>
          <w:i/>
          <w:iCs/>
        </w:rPr>
        <w:t>a c. Pologne</w:t>
      </w:r>
      <w:r>
        <w:rPr>
          <w:iCs/>
        </w:rPr>
        <w:t>, n°</w:t>
      </w:r>
      <w:r>
        <w:t>30210/96, §§92-94)</w:t>
      </w:r>
      <w:r w:rsidR="0003142D">
        <w:t>.</w:t>
      </w:r>
    </w:p>
    <w:p w14:paraId="567D8EDF" w14:textId="68C4491D" w:rsidR="006E5849" w:rsidRDefault="006E5849" w:rsidP="006E5849"/>
    <w:p w14:paraId="56E7DB06" w14:textId="164859C8" w:rsidR="000C4731" w:rsidRPr="000C4731" w:rsidRDefault="000C4731" w:rsidP="000C4731">
      <w:r>
        <w:t>I</w:t>
      </w:r>
      <w:r w:rsidRPr="000C4731">
        <w:t xml:space="preserve">l incombe </w:t>
      </w:r>
      <w:r w:rsidR="0003142D">
        <w:t>plus encore</w:t>
      </w:r>
      <w:r>
        <w:t xml:space="preserve"> aux États </w:t>
      </w:r>
      <w:r w:rsidRPr="000C4731">
        <w:t xml:space="preserve">d’organiser </w:t>
      </w:r>
      <w:r w:rsidR="0003142D">
        <w:t>leurs</w:t>
      </w:r>
      <w:r w:rsidRPr="000C4731">
        <w:t xml:space="preserve"> système</w:t>
      </w:r>
      <w:r w:rsidR="0003142D">
        <w:t>s</w:t>
      </w:r>
      <w:r w:rsidRPr="000C4731">
        <w:t xml:space="preserve"> pénitentiaire</w:t>
      </w:r>
      <w:r w:rsidR="0003142D">
        <w:t>s</w:t>
      </w:r>
      <w:r w:rsidRPr="000C4731">
        <w:t xml:space="preserve"> de manière à assurer le respect de la dignité des détenus, indépendamment de difficultés financières ou logistiques (voir, parmi beaucoup d’autres, </w:t>
      </w:r>
      <w:r>
        <w:t>CEDH, 1</w:t>
      </w:r>
      <w:r w:rsidRPr="000C4731">
        <w:rPr>
          <w:vertAlign w:val="superscript"/>
        </w:rPr>
        <w:t>er</w:t>
      </w:r>
      <w:r>
        <w:t xml:space="preserve"> juin 2006, </w:t>
      </w:r>
      <w:r w:rsidRPr="000C4731">
        <w:rPr>
          <w:i/>
          <w:iCs/>
        </w:rPr>
        <w:t>Mamedova c. Russie</w:t>
      </w:r>
      <w:r w:rsidRPr="000C4731">
        <w:t>, n</w:t>
      </w:r>
      <w:r>
        <w:t>°7064/05, §63).</w:t>
      </w:r>
    </w:p>
    <w:p w14:paraId="71CF8B8F" w14:textId="77777777" w:rsidR="00597B6E" w:rsidRDefault="00597B6E" w:rsidP="006146DC"/>
    <w:p w14:paraId="4229F026" w14:textId="14F86B21" w:rsidR="00597B6E" w:rsidRDefault="00597B6E" w:rsidP="00597B6E">
      <w:pPr>
        <w:pStyle w:val="Titre2"/>
      </w:pPr>
      <w:r>
        <w:t xml:space="preserve">Les </w:t>
      </w:r>
      <w:r w:rsidR="001746AD">
        <w:t>principes</w:t>
      </w:r>
      <w:r>
        <w:t xml:space="preserve"> </w:t>
      </w:r>
      <w:r w:rsidR="001746AD">
        <w:t>relatifs à la surpopulation carcérale</w:t>
      </w:r>
    </w:p>
    <w:p w14:paraId="5DEEBDBD" w14:textId="77777777" w:rsidR="00597B6E" w:rsidRDefault="00597B6E" w:rsidP="00597B6E"/>
    <w:p w14:paraId="5DA6CF16" w14:textId="6948B592" w:rsidR="00491572" w:rsidRDefault="00EB6B19" w:rsidP="00491572">
      <w:r>
        <w:t>C</w:t>
      </w:r>
      <w:r w:rsidR="00491572" w:rsidRPr="00AD430D">
        <w:t>ompte tenu de l’importance attachée au facteur spatial dans l’appréciation globale des conditions de détention</w:t>
      </w:r>
      <w:r w:rsidR="00491572">
        <w:t>, la Cour rappelle que</w:t>
      </w:r>
      <w:r w:rsidR="00491572" w:rsidRPr="00B6610C">
        <w:t xml:space="preserve"> l’exiguïté extrême dans une cellule de prison est un aspect particulièrement important qui doit être pris en compte</w:t>
      </w:r>
      <w:r w:rsidR="00491572">
        <w:t>.</w:t>
      </w:r>
    </w:p>
    <w:p w14:paraId="63637288" w14:textId="77777777" w:rsidR="00491572" w:rsidRDefault="00491572" w:rsidP="00491572"/>
    <w:p w14:paraId="6A898524" w14:textId="1A2A3A44" w:rsidR="00C350C3" w:rsidRPr="00C350C3" w:rsidRDefault="00491572" w:rsidP="00C350C3">
      <w:r>
        <w:t>P</w:t>
      </w:r>
      <w:r w:rsidR="00C350C3" w:rsidRPr="00C350C3">
        <w:t>lusieurs</w:t>
      </w:r>
      <w:r>
        <w:t xml:space="preserve"> autres</w:t>
      </w:r>
      <w:r w:rsidR="00C350C3" w:rsidRPr="00C350C3">
        <w:t xml:space="preserve"> facteurs, tels que </w:t>
      </w:r>
      <w:r w:rsidR="00BE3575">
        <w:t xml:space="preserve">la </w:t>
      </w:r>
      <w:r w:rsidR="00C350C3" w:rsidRPr="00C350C3">
        <w:t xml:space="preserve">durée de la privation de liberté, les possibilités d’exercice en plein air ou l’état de santé physique et mentale du détenu, jouent </w:t>
      </w:r>
      <w:r>
        <w:t xml:space="preserve">par ailleurs </w:t>
      </w:r>
      <w:r w:rsidR="00C350C3" w:rsidRPr="00C350C3">
        <w:t>un rôle dans l’appréciation des conditions de détention au regard des garanties de l’article 3</w:t>
      </w:r>
      <w:r w:rsidR="00781423">
        <w:t>.</w:t>
      </w:r>
    </w:p>
    <w:p w14:paraId="1F9D475E" w14:textId="2038EE45" w:rsidR="00597B6E" w:rsidRDefault="00597B6E" w:rsidP="00597B6E"/>
    <w:p w14:paraId="733306A0" w14:textId="6D513FEE" w:rsidR="00645D6B" w:rsidRDefault="005C64D5" w:rsidP="00781423">
      <w:r>
        <w:t xml:space="preserve">Pour permettre une appréciation la plus juste </w:t>
      </w:r>
      <w:r w:rsidR="00EB6B19">
        <w:t xml:space="preserve">et égalitaire </w:t>
      </w:r>
      <w:r>
        <w:t>possible, elle</w:t>
      </w:r>
      <w:r w:rsidR="00781423">
        <w:t xml:space="preserve"> a </w:t>
      </w:r>
      <w:r w:rsidR="00EB6B19">
        <w:t xml:space="preserve">établi, à l’occasion de son arrêt de Grande Chambre </w:t>
      </w:r>
      <w:r w:rsidR="00EB6B19" w:rsidRPr="00EB6B19">
        <w:rPr>
          <w:i/>
        </w:rPr>
        <w:t>Murs</w:t>
      </w:r>
      <w:r w:rsidR="00EB6B19" w:rsidRPr="00EB6B19">
        <w:rPr>
          <w:rFonts w:ascii="Calibri" w:eastAsia="Calibri" w:hAnsi="Calibri" w:cs="Calibri"/>
          <w:i/>
        </w:rPr>
        <w:t>̌</w:t>
      </w:r>
      <w:r w:rsidR="00EB6B19">
        <w:rPr>
          <w:i/>
        </w:rPr>
        <w:t>ic c.</w:t>
      </w:r>
      <w:r w:rsidR="00EB6B19" w:rsidRPr="00EB6B19">
        <w:rPr>
          <w:i/>
        </w:rPr>
        <w:t xml:space="preserve"> Croatie</w:t>
      </w:r>
      <w:r w:rsidR="00EB6B19">
        <w:t xml:space="preserve"> du 20 octobre 2016 (n°7334/13), </w:t>
      </w:r>
      <w:r w:rsidR="00781423">
        <w:t xml:space="preserve">une </w:t>
      </w:r>
      <w:r w:rsidR="00645D6B">
        <w:t xml:space="preserve">méthode </w:t>
      </w:r>
      <w:r w:rsidR="00EB6B19">
        <w:t xml:space="preserve">basée sur l’examen de la surface au sol </w:t>
      </w:r>
      <w:r w:rsidR="00645D6B">
        <w:t>qu</w:t>
      </w:r>
      <w:r w:rsidR="00781423">
        <w:t>e les juridictions nationales</w:t>
      </w:r>
      <w:r w:rsidR="00EB6B19">
        <w:t xml:space="preserve"> </w:t>
      </w:r>
      <w:r w:rsidR="00645D6B">
        <w:t>sont invitées à employer</w:t>
      </w:r>
      <w:r w:rsidR="00781423">
        <w:t>.</w:t>
      </w:r>
    </w:p>
    <w:p w14:paraId="197C4FBB" w14:textId="77777777" w:rsidR="00B6610C" w:rsidRDefault="00B6610C" w:rsidP="00B6610C"/>
    <w:p w14:paraId="3D95B1F7" w14:textId="0A3C0BC7" w:rsidR="00B6610C" w:rsidRPr="00B6610C" w:rsidRDefault="00372954" w:rsidP="00B6610C">
      <w:r w:rsidRPr="00372954">
        <w:t>À</w:t>
      </w:r>
      <w:r w:rsidR="00EB6B19" w:rsidRPr="00372954">
        <w:t xml:space="preserve"> titre préliminaire</w:t>
      </w:r>
      <w:r w:rsidR="00EB6B19">
        <w:t>, la Cour</w:t>
      </w:r>
      <w:r w:rsidR="002B70DD">
        <w:t xml:space="preserve"> précise que la </w:t>
      </w:r>
      <w:r w:rsidR="002B70DD" w:rsidRPr="002B70DD">
        <w:t>surface totale de la cellule ne doit pas comprendre celle des sanitaires</w:t>
      </w:r>
      <w:r w:rsidR="00A1274A">
        <w:t>, mais qu’en</w:t>
      </w:r>
      <w:r w:rsidR="002B70DD" w:rsidRPr="002B70DD">
        <w:t xml:space="preserve"> revanche, le calcul de la surface disponible </w:t>
      </w:r>
      <w:r w:rsidR="00A1274A">
        <w:t xml:space="preserve">doit inclure l’espace occupé par les différents meubles </w:t>
      </w:r>
      <w:r w:rsidR="00B962FC">
        <w:t xml:space="preserve">(CEDH GC, 20 octobre 2016, </w:t>
      </w:r>
      <w:r w:rsidR="00B962FC" w:rsidRPr="00415350">
        <w:rPr>
          <w:i/>
        </w:rPr>
        <w:t>Murs</w:t>
      </w:r>
      <w:r w:rsidR="00B962FC" w:rsidRPr="00415350">
        <w:rPr>
          <w:rFonts w:ascii="Calibri" w:eastAsia="Calibri" w:hAnsi="Calibri" w:cs="Calibri"/>
          <w:i/>
        </w:rPr>
        <w:t>̌</w:t>
      </w:r>
      <w:r w:rsidR="00B962FC" w:rsidRPr="00415350">
        <w:rPr>
          <w:i/>
        </w:rPr>
        <w:t>i</w:t>
      </w:r>
      <w:r w:rsidR="00415350" w:rsidRPr="00415350">
        <w:rPr>
          <w:i/>
        </w:rPr>
        <w:t xml:space="preserve">c </w:t>
      </w:r>
      <w:r w:rsidR="00B962FC" w:rsidRPr="00415350">
        <w:rPr>
          <w:i/>
        </w:rPr>
        <w:t>c. Croatie</w:t>
      </w:r>
      <w:r w:rsidR="00B962FC">
        <w:t>, n°</w:t>
      </w:r>
      <w:r w:rsidR="00B962FC" w:rsidRPr="00BE3575">
        <w:t>7334/13</w:t>
      </w:r>
      <w:r w:rsidR="00B962FC">
        <w:t>, §114)</w:t>
      </w:r>
      <w:r w:rsidR="002B70DD" w:rsidRPr="002B70DD">
        <w:t>.</w:t>
      </w:r>
    </w:p>
    <w:p w14:paraId="31AD6D31" w14:textId="77777777" w:rsidR="00372954" w:rsidRDefault="00372954" w:rsidP="00491572"/>
    <w:p w14:paraId="4C7C1D3C" w14:textId="0F6A8F03" w:rsidR="00372954" w:rsidRDefault="00372954" w:rsidP="00372954">
      <w:pPr>
        <w:pStyle w:val="Titre3"/>
        <w:rPr>
          <w:vertAlign w:val="superscript"/>
        </w:rPr>
      </w:pPr>
      <w:r>
        <w:t>Lorsque la surface disponible est inférieure à 3m</w:t>
      </w:r>
      <w:r>
        <w:rPr>
          <w:vertAlign w:val="superscript"/>
        </w:rPr>
        <w:t>2</w:t>
      </w:r>
    </w:p>
    <w:p w14:paraId="749190BD" w14:textId="77777777" w:rsidR="00372954" w:rsidRPr="00372954" w:rsidRDefault="00372954" w:rsidP="00372954"/>
    <w:p w14:paraId="7147734A" w14:textId="31588FC6" w:rsidR="00AD430D" w:rsidRPr="00AD430D" w:rsidRDefault="00491572" w:rsidP="00177368">
      <w:r w:rsidRPr="00491572">
        <w:t>Lorsque la surface au sol dont dispose un</w:t>
      </w:r>
      <w:r w:rsidR="00135F13">
        <w:t>e personne</w:t>
      </w:r>
      <w:r w:rsidRPr="00491572">
        <w:t xml:space="preserve"> détenu</w:t>
      </w:r>
      <w:r w:rsidR="00135F13">
        <w:t>e</w:t>
      </w:r>
      <w:r w:rsidRPr="00491572">
        <w:t xml:space="preserve"> en cellul</w:t>
      </w:r>
      <w:r w:rsidR="00177368">
        <w:t>e collective est inférieure à 3m</w:t>
      </w:r>
      <w:r w:rsidR="00177368">
        <w:rPr>
          <w:vertAlign w:val="superscript"/>
        </w:rPr>
        <w:t>2</w:t>
      </w:r>
      <w:r w:rsidRPr="00491572">
        <w:t xml:space="preserve">, </w:t>
      </w:r>
      <w:r w:rsidR="00177368">
        <w:t xml:space="preserve">la Cour </w:t>
      </w:r>
      <w:r w:rsidR="00A1274A">
        <w:t>aff</w:t>
      </w:r>
      <w:r w:rsidR="00B962FC">
        <w:t>irme que</w:t>
      </w:r>
      <w:r w:rsidR="00AD430D" w:rsidRPr="00AD430D">
        <w:t xml:space="preserve"> </w:t>
      </w:r>
      <w:r w:rsidR="00177368">
        <w:t>la situation</w:t>
      </w:r>
      <w:r w:rsidR="00AD430D" w:rsidRPr="00AD430D">
        <w:t xml:space="preserve"> fait naître une forte présompt</w:t>
      </w:r>
      <w:r w:rsidR="007857A2">
        <w:t>ion de violation de l’article 3</w:t>
      </w:r>
      <w:r w:rsidR="00232D84">
        <w:t xml:space="preserve"> </w:t>
      </w:r>
      <w:r w:rsidR="00177368">
        <w:t xml:space="preserve">de la Convention </w:t>
      </w:r>
      <w:r w:rsidR="00232D84">
        <w:t xml:space="preserve">(CEDH GC, 20 octobre 2016, </w:t>
      </w:r>
      <w:r w:rsidR="00232D84" w:rsidRPr="00415350">
        <w:rPr>
          <w:i/>
        </w:rPr>
        <w:t>Murs</w:t>
      </w:r>
      <w:r w:rsidR="00232D84" w:rsidRPr="00415350">
        <w:rPr>
          <w:rFonts w:ascii="Calibri" w:eastAsia="Calibri" w:hAnsi="Calibri" w:cs="Calibri"/>
          <w:i/>
        </w:rPr>
        <w:t>̌</w:t>
      </w:r>
      <w:r w:rsidR="00232D84" w:rsidRPr="00415350">
        <w:rPr>
          <w:i/>
        </w:rPr>
        <w:t>i</w:t>
      </w:r>
      <w:r w:rsidR="00415350" w:rsidRPr="00415350">
        <w:rPr>
          <w:i/>
        </w:rPr>
        <w:t>c</w:t>
      </w:r>
      <w:r w:rsidR="00232D84" w:rsidRPr="00415350">
        <w:rPr>
          <w:i/>
        </w:rPr>
        <w:t xml:space="preserve"> c. Croatie</w:t>
      </w:r>
      <w:r w:rsidR="00232D84">
        <w:t>, n°</w:t>
      </w:r>
      <w:r w:rsidR="00232D84" w:rsidRPr="00BE3575">
        <w:t>7334/13</w:t>
      </w:r>
      <w:r w:rsidR="00232D84">
        <w:t>, §124)</w:t>
      </w:r>
      <w:r w:rsidR="007857A2">
        <w:t>.</w:t>
      </w:r>
    </w:p>
    <w:p w14:paraId="0C443871" w14:textId="77777777" w:rsidR="00AD430D" w:rsidRDefault="00AD430D" w:rsidP="00781423"/>
    <w:p w14:paraId="51E3BDF4" w14:textId="0DB2DDC7" w:rsidR="00177368" w:rsidRDefault="00AC2201" w:rsidP="00372975">
      <w:r>
        <w:lastRenderedPageBreak/>
        <w:t xml:space="preserve">Cette présomption n’étant pas irréfragable, l’autorité publique </w:t>
      </w:r>
      <w:r w:rsidR="00E02872">
        <w:t xml:space="preserve">conserve la faculté de </w:t>
      </w:r>
      <w:r w:rsidRPr="00AC2201">
        <w:t>démontrer de manière convaincante la présence de facteurs propres à compenser de manière adéqua</w:t>
      </w:r>
      <w:r w:rsidR="005B3EC9">
        <w:t>te le manque d’espace personnel, tels que</w:t>
      </w:r>
      <w:r w:rsidR="00177368">
        <w:t xml:space="preserve"> (CEDH GC, 20 octobre 2016, </w:t>
      </w:r>
      <w:r w:rsidR="00177368" w:rsidRPr="00415350">
        <w:rPr>
          <w:i/>
        </w:rPr>
        <w:t>Murs</w:t>
      </w:r>
      <w:r w:rsidR="00177368" w:rsidRPr="00415350">
        <w:rPr>
          <w:rFonts w:ascii="Calibri" w:eastAsia="Calibri" w:hAnsi="Calibri" w:cs="Calibri"/>
          <w:i/>
        </w:rPr>
        <w:t>̌</w:t>
      </w:r>
      <w:r w:rsidR="00177368" w:rsidRPr="00415350">
        <w:rPr>
          <w:i/>
        </w:rPr>
        <w:t>i</w:t>
      </w:r>
      <w:r w:rsidR="00415350">
        <w:rPr>
          <w:i/>
        </w:rPr>
        <w:t xml:space="preserve">c </w:t>
      </w:r>
      <w:r w:rsidR="00177368" w:rsidRPr="00415350">
        <w:rPr>
          <w:i/>
        </w:rPr>
        <w:t>c. Croatie</w:t>
      </w:r>
      <w:r w:rsidR="00177368">
        <w:t>, n°</w:t>
      </w:r>
      <w:r w:rsidR="00177368" w:rsidRPr="00BE3575">
        <w:t>7334/13</w:t>
      </w:r>
      <w:r w:rsidR="00177368">
        <w:t>, §135) :</w:t>
      </w:r>
    </w:p>
    <w:p w14:paraId="45324FD1" w14:textId="77777777" w:rsidR="00177368" w:rsidRDefault="00177368" w:rsidP="00372975"/>
    <w:p w14:paraId="17C44ABB" w14:textId="70D30FAC" w:rsidR="00177368" w:rsidRDefault="00177368" w:rsidP="00177368">
      <w:pPr>
        <w:pStyle w:val="Paragraphedeliste"/>
        <w:numPr>
          <w:ilvl w:val="0"/>
          <w:numId w:val="15"/>
        </w:numPr>
      </w:pPr>
      <w:r>
        <w:t>L</w:t>
      </w:r>
      <w:r w:rsidR="00372975" w:rsidRPr="00372975">
        <w:t>a durée et l’ampleur de la restriction</w:t>
      </w:r>
      <w:r w:rsidR="00372975">
        <w:t xml:space="preserve"> de l’espace personnel</w:t>
      </w:r>
      <w:r>
        <w:t>,</w:t>
      </w:r>
    </w:p>
    <w:p w14:paraId="084C7A3D" w14:textId="4FDB842C" w:rsidR="00177368" w:rsidRDefault="00177368" w:rsidP="00177368">
      <w:pPr>
        <w:pStyle w:val="Paragraphedeliste"/>
        <w:numPr>
          <w:ilvl w:val="0"/>
          <w:numId w:val="15"/>
        </w:numPr>
      </w:pPr>
      <w:r>
        <w:t>L</w:t>
      </w:r>
      <w:r w:rsidR="00372975" w:rsidRPr="00372975">
        <w:t>e deg</w:t>
      </w:r>
      <w:r>
        <w:t>ré de liberté de circulation,</w:t>
      </w:r>
    </w:p>
    <w:p w14:paraId="4C4F7E4A" w14:textId="11E2B792" w:rsidR="00177368" w:rsidRDefault="00177368" w:rsidP="00177368">
      <w:pPr>
        <w:pStyle w:val="Paragraphedeliste"/>
        <w:numPr>
          <w:ilvl w:val="0"/>
          <w:numId w:val="15"/>
        </w:numPr>
      </w:pPr>
      <w:r>
        <w:t>L</w:t>
      </w:r>
      <w:r w:rsidR="00372975" w:rsidRPr="00372975">
        <w:t>’</w:t>
      </w:r>
      <w:r>
        <w:t>offre d’activités hors cellule,</w:t>
      </w:r>
    </w:p>
    <w:p w14:paraId="01903720" w14:textId="10712DD9" w:rsidR="00AC2201" w:rsidRDefault="00177368" w:rsidP="00177368">
      <w:pPr>
        <w:pStyle w:val="Paragraphedeliste"/>
        <w:numPr>
          <w:ilvl w:val="0"/>
          <w:numId w:val="15"/>
        </w:numPr>
      </w:pPr>
      <w:r>
        <w:t>L</w:t>
      </w:r>
      <w:r w:rsidR="00372975" w:rsidRPr="00372975">
        <w:t>e caractère généralement décent des conditions de</w:t>
      </w:r>
      <w:r>
        <w:t xml:space="preserve"> détention dans l’établissement</w:t>
      </w:r>
      <w:r w:rsidR="00372975">
        <w:t>.</w:t>
      </w:r>
    </w:p>
    <w:p w14:paraId="6BCDBA76" w14:textId="77777777" w:rsidR="00BE54DD" w:rsidRDefault="00BE54DD" w:rsidP="00AC2201"/>
    <w:p w14:paraId="639EF0E9" w14:textId="3DCC317D" w:rsidR="00BE54DD" w:rsidRDefault="00BE54DD" w:rsidP="00BE54DD">
      <w:r>
        <w:t>En présence d’allégations crédibles et circonstanciées</w:t>
      </w:r>
      <w:r w:rsidR="00177368">
        <w:t xml:space="preserve"> de violation</w:t>
      </w:r>
      <w:r w:rsidR="005548A3">
        <w:t>s</w:t>
      </w:r>
      <w:r w:rsidR="00177368">
        <w:t xml:space="preserve"> de l’article 3</w:t>
      </w:r>
      <w:r>
        <w:t xml:space="preserve">, la charge de la preuve est </w:t>
      </w:r>
      <w:r w:rsidR="00177368">
        <w:t>immédiatement</w:t>
      </w:r>
      <w:r>
        <w:t xml:space="preserve"> transférée à l’autorité publique </w:t>
      </w:r>
      <w:r w:rsidR="00177368">
        <w:t xml:space="preserve">qui </w:t>
      </w:r>
      <w:r>
        <w:t xml:space="preserve">doit alors </w:t>
      </w:r>
      <w:r w:rsidRPr="00BE54DD">
        <w:t xml:space="preserve">recueillir et produire les documents pertinents et fournir </w:t>
      </w:r>
      <w:r>
        <w:t>à la juridiction une description</w:t>
      </w:r>
      <w:r w:rsidRPr="00BE54DD">
        <w:t xml:space="preserve"> détaillée</w:t>
      </w:r>
      <w:r>
        <w:t xml:space="preserve"> des conditions de vie de la personne détenue (CEDH</w:t>
      </w:r>
      <w:r w:rsidR="00C213A2">
        <w:t>, 10 janvier 2012,</w:t>
      </w:r>
      <w:r>
        <w:t xml:space="preserve"> </w:t>
      </w:r>
      <w:r w:rsidR="00C213A2" w:rsidRPr="00C213A2">
        <w:rPr>
          <w:i/>
          <w:iCs/>
        </w:rPr>
        <w:t>Ananyev et autres c. Russie</w:t>
      </w:r>
      <w:r w:rsidR="00C213A2">
        <w:rPr>
          <w:iCs/>
        </w:rPr>
        <w:t>,</w:t>
      </w:r>
      <w:r w:rsidR="00C213A2" w:rsidRPr="00C213A2">
        <w:t xml:space="preserve"> </w:t>
      </w:r>
      <w:r w:rsidR="00C213A2">
        <w:t>n°</w:t>
      </w:r>
      <w:r w:rsidR="00C213A2" w:rsidRPr="00C213A2">
        <w:t xml:space="preserve">42525/07 et 60800/08, </w:t>
      </w:r>
      <w:r w:rsidR="00C213A2">
        <w:t>§§122-125)</w:t>
      </w:r>
      <w:r>
        <w:t>.</w:t>
      </w:r>
    </w:p>
    <w:p w14:paraId="5BA07B05" w14:textId="77777777" w:rsidR="00781423" w:rsidRDefault="00781423" w:rsidP="00781423"/>
    <w:p w14:paraId="26E56147" w14:textId="1653D33E" w:rsidR="00177368" w:rsidRDefault="00177368" w:rsidP="00177368">
      <w:pPr>
        <w:pStyle w:val="Titre3"/>
      </w:pPr>
      <w:r>
        <w:t>Lorsque la surface disponible est comprise entre 3 et 4m</w:t>
      </w:r>
      <w:r>
        <w:rPr>
          <w:vertAlign w:val="superscript"/>
        </w:rPr>
        <w:t>2</w:t>
      </w:r>
    </w:p>
    <w:p w14:paraId="48D1B370" w14:textId="77777777" w:rsidR="00177368" w:rsidRDefault="00177368" w:rsidP="00781423"/>
    <w:p w14:paraId="5BB74C00" w14:textId="36C2163E" w:rsidR="00372975" w:rsidRDefault="00177368" w:rsidP="00372975">
      <w:r>
        <w:t>L</w:t>
      </w:r>
      <w:r w:rsidR="00372975" w:rsidRPr="00372975">
        <w:t>orsqu’un</w:t>
      </w:r>
      <w:r w:rsidR="00372975">
        <w:t>e personne</w:t>
      </w:r>
      <w:r w:rsidR="00372975" w:rsidRPr="00372975">
        <w:t xml:space="preserve"> détenu</w:t>
      </w:r>
      <w:r w:rsidR="00372975">
        <w:t>e</w:t>
      </w:r>
      <w:r w:rsidR="00372975" w:rsidRPr="00372975">
        <w:t xml:space="preserve"> dispose dans la cellule d’un espace p</w:t>
      </w:r>
      <w:r w:rsidR="00372975">
        <w:t>ersonnel compris entre 3 et 4 m</w:t>
      </w:r>
      <w:r w:rsidR="00372975">
        <w:rPr>
          <w:vertAlign w:val="superscript"/>
        </w:rPr>
        <w:t>2</w:t>
      </w:r>
      <w:r w:rsidR="00372975" w:rsidRPr="00372975">
        <w:t>, le facteur spatial demeure un élément de poids dans l’appréciation que fait la Cour du caractèr</w:t>
      </w:r>
      <w:r w:rsidR="00884535">
        <w:t>e adéquat ou non des conditions de détention</w:t>
      </w:r>
      <w:r w:rsidR="00415350">
        <w:t xml:space="preserve"> (CEDH GC, 20 octobre 2016, </w:t>
      </w:r>
      <w:r w:rsidR="00415350" w:rsidRPr="00415350">
        <w:rPr>
          <w:i/>
        </w:rPr>
        <w:t>Murs</w:t>
      </w:r>
      <w:r w:rsidR="00415350" w:rsidRPr="00415350">
        <w:rPr>
          <w:rFonts w:ascii="Calibri" w:eastAsia="Calibri" w:hAnsi="Calibri" w:cs="Calibri"/>
          <w:i/>
        </w:rPr>
        <w:t>̌</w:t>
      </w:r>
      <w:r w:rsidR="00415350" w:rsidRPr="00415350">
        <w:rPr>
          <w:i/>
        </w:rPr>
        <w:t>ic c. Croatie</w:t>
      </w:r>
      <w:r w:rsidR="00415350">
        <w:t>, n°</w:t>
      </w:r>
      <w:r w:rsidR="00415350" w:rsidRPr="00BE3575">
        <w:t>7334/13</w:t>
      </w:r>
      <w:r w:rsidR="00415350">
        <w:t>, §139)</w:t>
      </w:r>
      <w:r w:rsidR="00884535">
        <w:t>.</w:t>
      </w:r>
    </w:p>
    <w:p w14:paraId="338CB3B2" w14:textId="77777777" w:rsidR="00884535" w:rsidRDefault="00884535" w:rsidP="00372975"/>
    <w:p w14:paraId="2EB01A0B" w14:textId="2760A1BB" w:rsidR="005F0FB4" w:rsidRDefault="00884535" w:rsidP="005F0FB4">
      <w:r w:rsidRPr="00884535">
        <w:t xml:space="preserve">En pareil cas, </w:t>
      </w:r>
      <w:r w:rsidR="00415350">
        <w:t xml:space="preserve">il y a lieu de conclure à </w:t>
      </w:r>
      <w:r w:rsidR="005F0FB4" w:rsidRPr="005F0FB4">
        <w:t>la violation de l’article 3 si le manque d’espace s’accompagne d’autres mauvaises condi</w:t>
      </w:r>
      <w:r w:rsidR="005F0FB4">
        <w:t xml:space="preserve">tions matérielles de détention et </w:t>
      </w:r>
      <w:r w:rsidR="005F0FB4" w:rsidRPr="005F0FB4">
        <w:t>notamment</w:t>
      </w:r>
      <w:r w:rsidR="005F0FB4">
        <w:t xml:space="preserve"> (CEDH, 10 janvier 2012, </w:t>
      </w:r>
      <w:r w:rsidR="005F0FB4" w:rsidRPr="00C213A2">
        <w:rPr>
          <w:i/>
          <w:iCs/>
        </w:rPr>
        <w:t>Ananyev et autres c. Russie</w:t>
      </w:r>
      <w:r w:rsidR="005F0FB4">
        <w:rPr>
          <w:iCs/>
        </w:rPr>
        <w:t>,</w:t>
      </w:r>
      <w:r w:rsidR="005F0FB4" w:rsidRPr="00C213A2">
        <w:t xml:space="preserve"> </w:t>
      </w:r>
      <w:r w:rsidR="005F0FB4">
        <w:t>n°</w:t>
      </w:r>
      <w:r w:rsidR="005F0FB4" w:rsidRPr="00C213A2">
        <w:t xml:space="preserve">42525/07 et 60800/08, </w:t>
      </w:r>
      <w:r w:rsidR="005F0FB4">
        <w:t>§149) :</w:t>
      </w:r>
    </w:p>
    <w:p w14:paraId="22FEA740" w14:textId="77777777" w:rsidR="005F0FB4" w:rsidRDefault="005F0FB4" w:rsidP="005F0FB4"/>
    <w:p w14:paraId="13DEE5D0" w14:textId="77777777" w:rsidR="005F0FB4" w:rsidRDefault="005F0FB4" w:rsidP="005F0FB4">
      <w:pPr>
        <w:pStyle w:val="Paragraphedeliste"/>
        <w:numPr>
          <w:ilvl w:val="0"/>
          <w:numId w:val="15"/>
        </w:numPr>
      </w:pPr>
      <w:r>
        <w:t>D</w:t>
      </w:r>
      <w:r w:rsidRPr="005F0FB4">
        <w:t>’un défaut d’</w:t>
      </w:r>
      <w:r>
        <w:t>accès à la cour de promenade,</w:t>
      </w:r>
    </w:p>
    <w:p w14:paraId="0CFED0D2" w14:textId="77777777" w:rsidR="005F0FB4" w:rsidRDefault="005F0FB4" w:rsidP="005F0FB4">
      <w:pPr>
        <w:pStyle w:val="Paragraphedeliste"/>
        <w:numPr>
          <w:ilvl w:val="0"/>
          <w:numId w:val="15"/>
        </w:numPr>
      </w:pPr>
      <w:r>
        <w:t xml:space="preserve">D’un défaut d’accès </w:t>
      </w:r>
      <w:r w:rsidRPr="005F0FB4">
        <w:t xml:space="preserve">à </w:t>
      </w:r>
      <w:r>
        <w:t>l’air et à la lumière naturels,</w:t>
      </w:r>
    </w:p>
    <w:p w14:paraId="34E36EA2" w14:textId="77777777" w:rsidR="005F0FB4" w:rsidRDefault="005F0FB4" w:rsidP="005F0FB4">
      <w:pPr>
        <w:pStyle w:val="Paragraphedeliste"/>
        <w:numPr>
          <w:ilvl w:val="0"/>
          <w:numId w:val="15"/>
        </w:numPr>
      </w:pPr>
      <w:r>
        <w:t>D</w:t>
      </w:r>
      <w:r w:rsidRPr="005F0FB4">
        <w:t>’une mauvaise aération</w:t>
      </w:r>
      <w:r>
        <w:t xml:space="preserve"> de la cellule,</w:t>
      </w:r>
    </w:p>
    <w:p w14:paraId="402439C1" w14:textId="77777777" w:rsidR="005F0FB4" w:rsidRDefault="005F0FB4" w:rsidP="005F0FB4">
      <w:pPr>
        <w:pStyle w:val="Paragraphedeliste"/>
        <w:numPr>
          <w:ilvl w:val="0"/>
          <w:numId w:val="15"/>
        </w:numPr>
      </w:pPr>
      <w:r>
        <w:t>D</w:t>
      </w:r>
      <w:r w:rsidRPr="005F0FB4">
        <w:t>’une température insuffisante o</w:t>
      </w:r>
      <w:r>
        <w:t>u trop élevée dans les locaux,</w:t>
      </w:r>
    </w:p>
    <w:p w14:paraId="60DE9691" w14:textId="77777777" w:rsidR="005F0FB4" w:rsidRDefault="005F0FB4" w:rsidP="005F0FB4">
      <w:pPr>
        <w:pStyle w:val="Paragraphedeliste"/>
        <w:numPr>
          <w:ilvl w:val="0"/>
          <w:numId w:val="15"/>
        </w:numPr>
      </w:pPr>
      <w:r>
        <w:t>D</w:t>
      </w:r>
      <w:r w:rsidRPr="005F0FB4">
        <w:t>’une absen</w:t>
      </w:r>
      <w:r>
        <w:t>ce d’intimité aux toilettes,</w:t>
      </w:r>
    </w:p>
    <w:p w14:paraId="31995E93" w14:textId="6919A807" w:rsidR="005F0FB4" w:rsidRPr="005F0FB4" w:rsidRDefault="005F0FB4" w:rsidP="005F0FB4">
      <w:pPr>
        <w:pStyle w:val="Paragraphedeliste"/>
        <w:numPr>
          <w:ilvl w:val="0"/>
          <w:numId w:val="15"/>
        </w:numPr>
      </w:pPr>
      <w:r>
        <w:t>D</w:t>
      </w:r>
      <w:r w:rsidRPr="005F0FB4">
        <w:t>e mauvaises condi</w:t>
      </w:r>
      <w:r>
        <w:t>tions sanitaires et hygiéniques.</w:t>
      </w:r>
    </w:p>
    <w:p w14:paraId="3B33743A" w14:textId="65D182F2" w:rsidR="00884535" w:rsidRPr="00372975" w:rsidRDefault="00884535" w:rsidP="00372975"/>
    <w:p w14:paraId="65BCB550" w14:textId="08A6F241" w:rsidR="00372975" w:rsidRPr="00781423" w:rsidRDefault="00135F13" w:rsidP="00135F13">
      <w:pPr>
        <w:pStyle w:val="Titre3"/>
      </w:pPr>
      <w:r>
        <w:t>Lorsque la surface disponible est supérieure à 4m</w:t>
      </w:r>
      <w:r>
        <w:rPr>
          <w:vertAlign w:val="superscript"/>
        </w:rPr>
        <w:t>2</w:t>
      </w:r>
    </w:p>
    <w:p w14:paraId="7C0C53DD" w14:textId="7FFA500C" w:rsidR="00781423" w:rsidRDefault="00781423" w:rsidP="00597B6E"/>
    <w:p w14:paraId="64CAACD5" w14:textId="3F5597A7" w:rsidR="004C1E49" w:rsidRDefault="00135F13" w:rsidP="0072646A">
      <w:r>
        <w:t>L</w:t>
      </w:r>
      <w:r w:rsidRPr="00135F13">
        <w:t>orsqu’un</w:t>
      </w:r>
      <w:r>
        <w:t>e personne</w:t>
      </w:r>
      <w:r w:rsidRPr="00135F13">
        <w:t xml:space="preserve"> détenu</w:t>
      </w:r>
      <w:r>
        <w:t>e dispose de plus de 4m</w:t>
      </w:r>
      <w:r>
        <w:rPr>
          <w:vertAlign w:val="superscript"/>
        </w:rPr>
        <w:t>2</w:t>
      </w:r>
      <w:r w:rsidRPr="00135F13">
        <w:t xml:space="preserve"> d’espace personnel en cellule collective et que cet aspect de ses conditions matérielles de détention ne pose pas de problème</w:t>
      </w:r>
      <w:r>
        <w:t xml:space="preserve"> particulier</w:t>
      </w:r>
      <w:r w:rsidRPr="00135F13">
        <w:t>,</w:t>
      </w:r>
      <w:r w:rsidR="004C1E49">
        <w:t xml:space="preserve"> la Cour invite à se référer aux normes minimales éditées par les organes</w:t>
      </w:r>
      <w:r w:rsidR="00242DE2">
        <w:t xml:space="preserve"> internationaux</w:t>
      </w:r>
      <w:r w:rsidR="004C1E49">
        <w:t xml:space="preserve"> de </w:t>
      </w:r>
      <w:r w:rsidR="00242DE2">
        <w:t>prévention de la torture et des traitements inhumains et dégradants</w:t>
      </w:r>
      <w:r w:rsidR="00DD1EBA">
        <w:t>.</w:t>
      </w:r>
    </w:p>
    <w:p w14:paraId="36E8B74B" w14:textId="77777777" w:rsidR="0072646A" w:rsidRDefault="0072646A" w:rsidP="0072646A"/>
    <w:p w14:paraId="121EAA7F" w14:textId="19AD33FD" w:rsidR="0072646A" w:rsidRDefault="0072646A" w:rsidP="00242DE2">
      <w:pPr>
        <w:pStyle w:val="Paragraphedeliste"/>
        <w:numPr>
          <w:ilvl w:val="0"/>
          <w:numId w:val="16"/>
        </w:numPr>
      </w:pPr>
      <w:r>
        <w:t>L</w:t>
      </w:r>
      <w:r w:rsidRPr="0072646A">
        <w:t>e rapport explicatif à la Convention européenne pour la prévention de la torture et des peines ou traitements inhumains ou dé</w:t>
      </w:r>
      <w:r>
        <w:t>gradants (CPT/Inf/C (89) 1 [FR]) ;</w:t>
      </w:r>
    </w:p>
    <w:p w14:paraId="429CB3A9" w14:textId="5699D828" w:rsidR="0072646A" w:rsidRDefault="0072646A" w:rsidP="00242DE2">
      <w:pPr>
        <w:pStyle w:val="Paragraphedeliste"/>
        <w:numPr>
          <w:ilvl w:val="0"/>
          <w:numId w:val="16"/>
        </w:numPr>
      </w:pPr>
      <w:r>
        <w:t>Le r</w:t>
      </w:r>
      <w:r w:rsidRPr="0072646A">
        <w:t xml:space="preserve">apport général d’activités du </w:t>
      </w:r>
      <w:r>
        <w:t>Comité de prévention de la torture du Conseil de l’Europe</w:t>
      </w:r>
      <w:r w:rsidRPr="0072646A">
        <w:t>, adopté le 31 janvier 1991 et publié le 20 fév</w:t>
      </w:r>
      <w:r>
        <w:t>rier 1991 (CPT/Inf (91) 3 [FR]) ;</w:t>
      </w:r>
    </w:p>
    <w:p w14:paraId="38F90945" w14:textId="378BF2B8" w:rsidR="009F1FAC" w:rsidRDefault="0072646A" w:rsidP="00242DE2">
      <w:pPr>
        <w:pStyle w:val="Paragraphedeliste"/>
        <w:numPr>
          <w:ilvl w:val="0"/>
          <w:numId w:val="16"/>
        </w:numPr>
      </w:pPr>
      <w:r>
        <w:t>Le</w:t>
      </w:r>
      <w:r w:rsidR="009F1FAC">
        <w:t xml:space="preserve"> document </w:t>
      </w:r>
      <w:r>
        <w:t>« </w:t>
      </w:r>
      <w:r w:rsidRPr="0072646A">
        <w:t>Normes du CPT » (CPT/Inf/E (2002) 1 – Rev. 2015)</w:t>
      </w:r>
      <w:r>
        <w:t> ;</w:t>
      </w:r>
    </w:p>
    <w:p w14:paraId="68168EA6" w14:textId="6869B5C8" w:rsidR="009F1FAC" w:rsidRDefault="009F1FAC" w:rsidP="00242DE2">
      <w:pPr>
        <w:pStyle w:val="Paragraphedeliste"/>
        <w:numPr>
          <w:ilvl w:val="0"/>
          <w:numId w:val="16"/>
        </w:numPr>
      </w:pPr>
      <w:r>
        <w:t xml:space="preserve">Le document </w:t>
      </w:r>
      <w:r w:rsidRPr="009F1FAC">
        <w:t xml:space="preserve">« Espace vital par détenu dans les établissements </w:t>
      </w:r>
      <w:r w:rsidR="00242DE2">
        <w:t>pénitentiaires : Normes du CPT »</w:t>
      </w:r>
      <w:r w:rsidRPr="009F1FAC">
        <w:t xml:space="preserve"> (CPT/I</w:t>
      </w:r>
      <w:r>
        <w:t>nf (2015) 44, 15 décembre 2015) ;</w:t>
      </w:r>
    </w:p>
    <w:p w14:paraId="6BD54CDC" w14:textId="528E5336" w:rsidR="00EF5E1A" w:rsidRDefault="00EF5E1A" w:rsidP="00242DE2">
      <w:pPr>
        <w:pStyle w:val="Paragraphedeliste"/>
        <w:numPr>
          <w:ilvl w:val="0"/>
          <w:numId w:val="16"/>
        </w:numPr>
      </w:pPr>
      <w:r>
        <w:t>L</w:t>
      </w:r>
      <w:r w:rsidRPr="00EF5E1A">
        <w:t>a recommandation Rec(2006)2 sur les rè</w:t>
      </w:r>
      <w:r>
        <w:t>gles pénitentiaires européennes, du 11 janvier 2006 ;</w:t>
      </w:r>
    </w:p>
    <w:p w14:paraId="3B07FFBB" w14:textId="6914F74B" w:rsidR="00242DE2" w:rsidRPr="00242DE2" w:rsidRDefault="00242DE2" w:rsidP="00242DE2">
      <w:pPr>
        <w:pStyle w:val="Paragraphedeliste"/>
        <w:numPr>
          <w:ilvl w:val="0"/>
          <w:numId w:val="16"/>
        </w:numPr>
      </w:pPr>
      <w:r w:rsidRPr="00242DE2">
        <w:t>L’Ensemble de règles minima des Nations unies pour le traitement des détenus (Règles Mandela), qui figure dans le document A</w:t>
      </w:r>
      <w:r>
        <w:t>/C.3/70/L.3 (29 septembre 2015).</w:t>
      </w:r>
    </w:p>
    <w:p w14:paraId="53B521E1" w14:textId="3CB29414" w:rsidR="00135F13" w:rsidRPr="00135F13" w:rsidRDefault="004C1E49" w:rsidP="004C1E49">
      <w:r>
        <w:lastRenderedPageBreak/>
        <w:t xml:space="preserve">Elle rappelle que ces standards </w:t>
      </w:r>
      <w:r w:rsidR="00135F13" w:rsidRPr="00135F13">
        <w:t xml:space="preserve">demeurent pertinents </w:t>
      </w:r>
      <w:r w:rsidR="00061C04">
        <w:t>dans</w:t>
      </w:r>
      <w:r w:rsidR="00135F13" w:rsidRPr="00135F13">
        <w:t xml:space="preserve"> l’appréciation du caractère adéquat</w:t>
      </w:r>
      <w:r w:rsidR="00061C04">
        <w:t xml:space="preserve"> ou non</w:t>
      </w:r>
      <w:r w:rsidR="00135F13" w:rsidRPr="00135F13">
        <w:t xml:space="preserve"> des conditions de détention de l’intéressé au regard de l’article 3 de la Convention</w:t>
      </w:r>
      <w:r>
        <w:t xml:space="preserve"> (CEDH GC, 20 octobre 2016, </w:t>
      </w:r>
      <w:r w:rsidRPr="00415350">
        <w:rPr>
          <w:i/>
        </w:rPr>
        <w:t>Murs</w:t>
      </w:r>
      <w:r w:rsidRPr="00415350">
        <w:rPr>
          <w:rFonts w:ascii="Calibri" w:eastAsia="Calibri" w:hAnsi="Calibri" w:cs="Calibri"/>
          <w:i/>
        </w:rPr>
        <w:t>̌</w:t>
      </w:r>
      <w:r w:rsidRPr="00415350">
        <w:rPr>
          <w:i/>
        </w:rPr>
        <w:t>ic c. Croatie</w:t>
      </w:r>
      <w:r>
        <w:t>, n°</w:t>
      </w:r>
      <w:r w:rsidRPr="00BE3575">
        <w:t>7334/13</w:t>
      </w:r>
      <w:r>
        <w:t>, §140).</w:t>
      </w:r>
    </w:p>
    <w:p w14:paraId="185845DD" w14:textId="77777777" w:rsidR="00401CC1" w:rsidRDefault="00401CC1" w:rsidP="00597B6E"/>
    <w:p w14:paraId="4DF3E62B" w14:textId="5FDF079B" w:rsidR="00242DE2" w:rsidRDefault="00242DE2" w:rsidP="00597B6E">
      <w:r>
        <w:t>Au niveau national, il convient d’ajouter à la liste de ces documents l’ensemble des recommandations émises par le Contrôleur général des lieux de privation de liberté</w:t>
      </w:r>
      <w:r w:rsidR="00143C6A">
        <w:t xml:space="preserve"> (CGLPL)</w:t>
      </w:r>
      <w:r>
        <w:t xml:space="preserve"> dans ses rapports de visite, rapports annuels, avis ou recommandations en urgence.</w:t>
      </w:r>
    </w:p>
    <w:p w14:paraId="1C5E6474" w14:textId="77777777" w:rsidR="00242DE2" w:rsidRDefault="00242DE2" w:rsidP="00597B6E"/>
    <w:p w14:paraId="0D7CDB6C" w14:textId="3088DBC9" w:rsidR="00401CC1" w:rsidRDefault="00401CC1" w:rsidP="00401CC1">
      <w:pPr>
        <w:pStyle w:val="Titre2"/>
      </w:pPr>
      <w:r>
        <w:t xml:space="preserve">Les principes relatifs à </w:t>
      </w:r>
      <w:r w:rsidRPr="009F614D">
        <w:rPr>
          <w:highlight w:val="yellow"/>
        </w:rPr>
        <w:t>[</w:t>
      </w:r>
      <w:r w:rsidR="00DD1EBA">
        <w:rPr>
          <w:highlight w:val="yellow"/>
        </w:rPr>
        <w:t>toute autre situation à</w:t>
      </w:r>
      <w:r w:rsidR="00DD1EBA" w:rsidRPr="009F614D">
        <w:rPr>
          <w:highlight w:val="yellow"/>
        </w:rPr>
        <w:t xml:space="preserve"> l’origine d’une violation des droits de la personne détenue</w:t>
      </w:r>
      <w:r w:rsidRPr="009F614D">
        <w:rPr>
          <w:highlight w:val="yellow"/>
        </w:rPr>
        <w:t>]</w:t>
      </w:r>
    </w:p>
    <w:p w14:paraId="09FA7130" w14:textId="77777777" w:rsidR="00401CC1" w:rsidRDefault="00401CC1" w:rsidP="00597B6E"/>
    <w:p w14:paraId="5961FE58" w14:textId="2EF299C8" w:rsidR="00401CC1" w:rsidRDefault="00143C6A" w:rsidP="00597B6E">
      <w:r w:rsidRPr="00143C6A">
        <w:rPr>
          <w:highlight w:val="yellow"/>
        </w:rPr>
        <w:t>[À</w:t>
      </w:r>
      <w:r w:rsidR="005548A3">
        <w:rPr>
          <w:highlight w:val="yellow"/>
        </w:rPr>
        <w:t xml:space="preserve"> compléter selon la situation rencontré</w:t>
      </w:r>
      <w:r w:rsidR="005548A3" w:rsidRPr="00143C6A">
        <w:rPr>
          <w:highlight w:val="yellow"/>
        </w:rPr>
        <w:t>e</w:t>
      </w:r>
      <w:r w:rsidRPr="00143C6A">
        <w:rPr>
          <w:highlight w:val="yellow"/>
        </w:rPr>
        <w:t>]</w:t>
      </w:r>
    </w:p>
    <w:p w14:paraId="06C0BFED" w14:textId="77777777" w:rsidR="00634476" w:rsidRDefault="00634476" w:rsidP="00597B6E"/>
    <w:p w14:paraId="7E1F07C6" w14:textId="5925D706" w:rsidR="00401CC1" w:rsidRDefault="00CA0965" w:rsidP="00CA0965">
      <w:pPr>
        <w:pStyle w:val="Titre2"/>
      </w:pPr>
      <w:r>
        <w:t xml:space="preserve">Sur la situation de </w:t>
      </w:r>
      <w:r w:rsidRPr="00CA0965">
        <w:rPr>
          <w:highlight w:val="lightGray"/>
        </w:rPr>
        <w:t>Madame / Monsieur</w:t>
      </w:r>
      <w:r>
        <w:t xml:space="preserve"> </w:t>
      </w:r>
      <w:r>
        <w:fldChar w:fldCharType="begin">
          <w:ffData>
            <w:name w:val="Texte28"/>
            <w:enabled/>
            <w:calcOnExit w:val="0"/>
            <w:textInput/>
          </w:ffData>
        </w:fldChar>
      </w:r>
      <w:bookmarkStart w:id="21" w:name="Texte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F93F5A9" w14:textId="77777777" w:rsidR="00CA0965" w:rsidRDefault="00CA0965" w:rsidP="00401CC1">
      <w:pPr>
        <w:jc w:val="center"/>
      </w:pPr>
    </w:p>
    <w:p w14:paraId="046B8161" w14:textId="398744DC" w:rsidR="00CA0965" w:rsidRDefault="00401CC1" w:rsidP="00401CC1">
      <w:r>
        <w:t>En l’espèce,</w:t>
      </w:r>
      <w:r w:rsidR="00CA0965">
        <w:t xml:space="preserve"> </w:t>
      </w:r>
      <w:r w:rsidR="00CA0965" w:rsidRPr="00CA0965">
        <w:rPr>
          <w:highlight w:val="lightGray"/>
        </w:rPr>
        <w:t>Madame / Monsieur</w:t>
      </w:r>
      <w:r w:rsidR="00CA0965">
        <w:t xml:space="preserve"> </w:t>
      </w:r>
      <w:r w:rsidR="00CA0965">
        <w:fldChar w:fldCharType="begin">
          <w:ffData>
            <w:name w:val="Texte25"/>
            <w:enabled/>
            <w:calcOnExit w:val="0"/>
            <w:textInput/>
          </w:ffData>
        </w:fldChar>
      </w:r>
      <w:bookmarkStart w:id="22" w:name="Texte25"/>
      <w:r w:rsidR="00CA0965">
        <w:instrText xml:space="preserve"> FORMTEXT </w:instrText>
      </w:r>
      <w:r w:rsidR="00CA0965">
        <w:fldChar w:fldCharType="separate"/>
      </w:r>
      <w:r w:rsidR="00CA0965">
        <w:rPr>
          <w:noProof/>
        </w:rPr>
        <w:t> </w:t>
      </w:r>
      <w:r w:rsidR="00CA0965">
        <w:rPr>
          <w:noProof/>
        </w:rPr>
        <w:t> </w:t>
      </w:r>
      <w:r w:rsidR="00CA0965">
        <w:rPr>
          <w:noProof/>
        </w:rPr>
        <w:t> </w:t>
      </w:r>
      <w:r w:rsidR="00CA0965">
        <w:rPr>
          <w:noProof/>
        </w:rPr>
        <w:t> </w:t>
      </w:r>
      <w:r w:rsidR="00CA0965">
        <w:rPr>
          <w:noProof/>
        </w:rPr>
        <w:t> </w:t>
      </w:r>
      <w:r w:rsidR="00CA0965">
        <w:fldChar w:fldCharType="end"/>
      </w:r>
      <w:bookmarkEnd w:id="22"/>
      <w:r w:rsidR="00CA0965">
        <w:t xml:space="preserve"> est </w:t>
      </w:r>
      <w:r w:rsidR="00CA0965" w:rsidRPr="004944F8">
        <w:rPr>
          <w:highlight w:val="lightGray"/>
        </w:rPr>
        <w:t>incarcéré</w:t>
      </w:r>
      <w:r w:rsidR="004944F8" w:rsidRPr="004944F8">
        <w:rPr>
          <w:highlight w:val="lightGray"/>
        </w:rPr>
        <w:t>(e)</w:t>
      </w:r>
      <w:r w:rsidR="00CA0965">
        <w:t xml:space="preserve"> depuis le </w:t>
      </w:r>
      <w:r w:rsidR="00CA0965">
        <w:fldChar w:fldCharType="begin">
          <w:ffData>
            <w:name w:val="Texte26"/>
            <w:enabled/>
            <w:calcOnExit w:val="0"/>
            <w:textInput/>
          </w:ffData>
        </w:fldChar>
      </w:r>
      <w:bookmarkStart w:id="23" w:name="Texte26"/>
      <w:r w:rsidR="00CA0965">
        <w:instrText xml:space="preserve"> FORMTEXT </w:instrText>
      </w:r>
      <w:r w:rsidR="00CA0965">
        <w:fldChar w:fldCharType="separate"/>
      </w:r>
      <w:r w:rsidR="00CA0965">
        <w:rPr>
          <w:noProof/>
        </w:rPr>
        <w:t> </w:t>
      </w:r>
      <w:r w:rsidR="00CA0965">
        <w:rPr>
          <w:noProof/>
        </w:rPr>
        <w:t> </w:t>
      </w:r>
      <w:r w:rsidR="00CA0965">
        <w:rPr>
          <w:noProof/>
        </w:rPr>
        <w:t> </w:t>
      </w:r>
      <w:r w:rsidR="00CA0965">
        <w:rPr>
          <w:noProof/>
        </w:rPr>
        <w:t> </w:t>
      </w:r>
      <w:r w:rsidR="00CA0965">
        <w:rPr>
          <w:noProof/>
        </w:rPr>
        <w:t> </w:t>
      </w:r>
      <w:r w:rsidR="00CA0965">
        <w:fldChar w:fldCharType="end"/>
      </w:r>
      <w:bookmarkEnd w:id="23"/>
      <w:r w:rsidR="00CA0965">
        <w:t xml:space="preserve"> </w:t>
      </w:r>
      <w:r w:rsidR="00CA0965" w:rsidRPr="00DD34AD">
        <w:rPr>
          <w:highlight w:val="lightGray"/>
        </w:rPr>
        <w:t>à</w:t>
      </w:r>
      <w:r w:rsidR="00DD34AD" w:rsidRPr="00DD34AD">
        <w:rPr>
          <w:highlight w:val="lightGray"/>
        </w:rPr>
        <w:t xml:space="preserve"> / au</w:t>
      </w:r>
      <w:r w:rsidR="00CA0965">
        <w:t xml:space="preserve"> </w:t>
      </w:r>
      <w:r w:rsidR="00CA0965">
        <w:fldChar w:fldCharType="begin">
          <w:ffData>
            <w:name w:val="Texte27"/>
            <w:enabled/>
            <w:calcOnExit w:val="0"/>
            <w:textInput/>
          </w:ffData>
        </w:fldChar>
      </w:r>
      <w:bookmarkStart w:id="24" w:name="Texte27"/>
      <w:r w:rsidR="00CA0965">
        <w:instrText xml:space="preserve"> FORMTEXT </w:instrText>
      </w:r>
      <w:r w:rsidR="00CA0965">
        <w:fldChar w:fldCharType="separate"/>
      </w:r>
      <w:r w:rsidR="00CA0965">
        <w:rPr>
          <w:noProof/>
        </w:rPr>
        <w:t> </w:t>
      </w:r>
      <w:r w:rsidR="00CA0965">
        <w:rPr>
          <w:noProof/>
        </w:rPr>
        <w:t> </w:t>
      </w:r>
      <w:r w:rsidR="00CA0965">
        <w:rPr>
          <w:noProof/>
        </w:rPr>
        <w:t> </w:t>
      </w:r>
      <w:r w:rsidR="00CA0965">
        <w:rPr>
          <w:noProof/>
        </w:rPr>
        <w:t> </w:t>
      </w:r>
      <w:r w:rsidR="00CA0965">
        <w:rPr>
          <w:noProof/>
        </w:rPr>
        <w:t> </w:t>
      </w:r>
      <w:r w:rsidR="00CA0965">
        <w:fldChar w:fldCharType="end"/>
      </w:r>
      <w:bookmarkEnd w:id="24"/>
      <w:r w:rsidR="00CA0965">
        <w:t>.</w:t>
      </w:r>
    </w:p>
    <w:p w14:paraId="5330808F" w14:textId="77777777" w:rsidR="00634476" w:rsidRDefault="00634476" w:rsidP="00401CC1"/>
    <w:p w14:paraId="13DF7B90" w14:textId="111B4797" w:rsidR="00CA0965" w:rsidRDefault="00190FC8" w:rsidP="00190FC8">
      <w:pPr>
        <w:pStyle w:val="Titre3"/>
      </w:pPr>
      <w:r>
        <w:t xml:space="preserve">Sur les conditions générales de détention </w:t>
      </w:r>
      <w:r w:rsidRPr="00DD34AD">
        <w:rPr>
          <w:highlight w:val="lightGray"/>
        </w:rPr>
        <w:t>à</w:t>
      </w:r>
      <w:r w:rsidR="00DD34AD" w:rsidRPr="00DD34AD">
        <w:rPr>
          <w:highlight w:val="lightGray"/>
        </w:rPr>
        <w:t xml:space="preserve"> / au</w:t>
      </w:r>
      <w:r>
        <w:t xml:space="preserve"> </w:t>
      </w:r>
      <w:r>
        <w:fldChar w:fldCharType="begin">
          <w:ffData>
            <w:name w:val="Texte29"/>
            <w:enabled/>
            <w:calcOnExit w:val="0"/>
            <w:textInput/>
          </w:ffData>
        </w:fldChar>
      </w:r>
      <w:bookmarkStart w:id="25" w:name="Texte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FC7937F" w14:textId="77777777" w:rsidR="00597B6E" w:rsidRPr="00597B6E" w:rsidRDefault="00597B6E" w:rsidP="00597B6E"/>
    <w:p w14:paraId="2951578B" w14:textId="25BDD025" w:rsidR="00F85DF1" w:rsidRDefault="00DD1EBA" w:rsidP="00F85DF1">
      <w:r w:rsidRPr="00F85DF1">
        <w:rPr>
          <w:highlight w:val="yellow"/>
        </w:rPr>
        <w:t>[Présenter l</w:t>
      </w:r>
      <w:r w:rsidR="00190FC8" w:rsidRPr="00F85DF1">
        <w:rPr>
          <w:highlight w:val="yellow"/>
        </w:rPr>
        <w:t>’</w:t>
      </w:r>
      <w:r w:rsidRPr="00F85DF1">
        <w:rPr>
          <w:highlight w:val="yellow"/>
        </w:rPr>
        <w:t>établissement</w:t>
      </w:r>
      <w:r w:rsidR="00190FC8" w:rsidRPr="00F85DF1">
        <w:rPr>
          <w:highlight w:val="yellow"/>
        </w:rPr>
        <w:t> :</w:t>
      </w:r>
      <w:r w:rsidR="00F85DF1" w:rsidRPr="00F85DF1">
        <w:rPr>
          <w:highlight w:val="yellow"/>
        </w:rPr>
        <w:t xml:space="preserve"> </w:t>
      </w:r>
      <w:r w:rsidRPr="00F85DF1">
        <w:rPr>
          <w:highlight w:val="yellow"/>
        </w:rPr>
        <w:t>nombre de places opérationnelles,</w:t>
      </w:r>
      <w:r w:rsidR="00F85DF1" w:rsidRPr="00F85DF1">
        <w:rPr>
          <w:highlight w:val="yellow"/>
        </w:rPr>
        <w:t xml:space="preserve"> </w:t>
      </w:r>
      <w:r w:rsidRPr="00F85DF1">
        <w:rPr>
          <w:highlight w:val="yellow"/>
        </w:rPr>
        <w:t>nombre de personnes détenues,</w:t>
      </w:r>
      <w:r w:rsidR="00F85DF1" w:rsidRPr="00F85DF1">
        <w:rPr>
          <w:highlight w:val="yellow"/>
        </w:rPr>
        <w:t xml:space="preserve"> </w:t>
      </w:r>
      <w:r w:rsidRPr="00F85DF1">
        <w:rPr>
          <w:highlight w:val="yellow"/>
        </w:rPr>
        <w:t>densité,</w:t>
      </w:r>
      <w:r w:rsidR="00F85DF1" w:rsidRPr="00F85DF1">
        <w:rPr>
          <w:highlight w:val="yellow"/>
        </w:rPr>
        <w:t xml:space="preserve"> </w:t>
      </w:r>
      <w:r w:rsidRPr="00F85DF1">
        <w:rPr>
          <w:highlight w:val="yellow"/>
        </w:rPr>
        <w:t>description des cellules</w:t>
      </w:r>
      <w:r w:rsidR="00F85DF1" w:rsidRPr="00F85DF1">
        <w:rPr>
          <w:highlight w:val="yellow"/>
        </w:rPr>
        <w:t xml:space="preserve">, </w:t>
      </w:r>
      <w:r w:rsidRPr="00F85DF1">
        <w:rPr>
          <w:highlight w:val="yellow"/>
        </w:rPr>
        <w:t>des espaces communs</w:t>
      </w:r>
      <w:r w:rsidR="00F85DF1" w:rsidRPr="00F85DF1">
        <w:rPr>
          <w:highlight w:val="yellow"/>
        </w:rPr>
        <w:t xml:space="preserve">, </w:t>
      </w:r>
      <w:r w:rsidRPr="00F85DF1">
        <w:rPr>
          <w:highlight w:val="yellow"/>
        </w:rPr>
        <w:t>des cours de promenades, des services proposés, etc.</w:t>
      </w:r>
      <w:r w:rsidR="00F85DF1" w:rsidRPr="00F85DF1">
        <w:rPr>
          <w:highlight w:val="yellow"/>
        </w:rPr>
        <w:t>]</w:t>
      </w:r>
    </w:p>
    <w:p w14:paraId="63AC0D48" w14:textId="77777777" w:rsidR="00F85DF1" w:rsidRDefault="00F85DF1" w:rsidP="00F85DF1"/>
    <w:p w14:paraId="5CA700E5" w14:textId="1EE76804" w:rsidR="00F85DF1" w:rsidRDefault="00F85DF1" w:rsidP="00F85DF1">
      <w:r w:rsidRPr="00F85DF1">
        <w:rPr>
          <w:highlight w:val="yellow"/>
        </w:rPr>
        <w:t>[P</w:t>
      </w:r>
      <w:r w:rsidR="00DD1EBA" w:rsidRPr="00F85DF1">
        <w:rPr>
          <w:highlight w:val="yellow"/>
        </w:rPr>
        <w:t>o</w:t>
      </w:r>
      <w:r w:rsidR="005548A3">
        <w:rPr>
          <w:highlight w:val="yellow"/>
        </w:rPr>
        <w:t>inter les principales difficultés à</w:t>
      </w:r>
      <w:r w:rsidR="00DD1EBA" w:rsidRPr="00F85DF1">
        <w:rPr>
          <w:highlight w:val="yellow"/>
        </w:rPr>
        <w:t xml:space="preserve"> partir des informations données par votre client(e) et documenté</w:t>
      </w:r>
      <w:r w:rsidR="0015382F">
        <w:rPr>
          <w:highlight w:val="yellow"/>
        </w:rPr>
        <w:t>es</w:t>
      </w:r>
      <w:r w:rsidR="00DD1EBA" w:rsidRPr="00F85DF1">
        <w:rPr>
          <w:highlight w:val="yellow"/>
        </w:rPr>
        <w:t xml:space="preserve"> dans les rapports du </w:t>
      </w:r>
      <w:r w:rsidR="005548A3">
        <w:rPr>
          <w:highlight w:val="yellow"/>
        </w:rPr>
        <w:t>CGLPL</w:t>
      </w:r>
      <w:r w:rsidR="00DD1EBA" w:rsidRPr="00F85DF1">
        <w:rPr>
          <w:highlight w:val="yellow"/>
        </w:rPr>
        <w:t xml:space="preserve"> et/ou les décisions des juridictions administratives.</w:t>
      </w:r>
      <w:r w:rsidRPr="00F85DF1">
        <w:rPr>
          <w:highlight w:val="yellow"/>
        </w:rPr>
        <w:t>]</w:t>
      </w:r>
    </w:p>
    <w:p w14:paraId="7569AEAF" w14:textId="77777777" w:rsidR="00190FC8" w:rsidRDefault="00190FC8" w:rsidP="006146DC"/>
    <w:p w14:paraId="7A210413" w14:textId="77777777" w:rsidR="00DD1EBA" w:rsidRDefault="00DD1EBA" w:rsidP="006146DC"/>
    <w:p w14:paraId="5B6D2A3D" w14:textId="15D2E998" w:rsidR="00AC7871" w:rsidRPr="00DD1EBA" w:rsidRDefault="00AC7871" w:rsidP="00AC7871">
      <w:pPr>
        <w:pBdr>
          <w:left w:val="single" w:sz="4" w:space="4" w:color="auto"/>
        </w:pBdr>
        <w:ind w:left="284"/>
        <w:rPr>
          <w:b/>
          <w:i/>
          <w:u w:val="single"/>
        </w:rPr>
      </w:pPr>
      <w:r w:rsidRPr="00DD1EBA">
        <w:rPr>
          <w:b/>
          <w:i/>
          <w:u w:val="single"/>
        </w:rPr>
        <w:t>LIENS UTILES</w:t>
      </w:r>
    </w:p>
    <w:p w14:paraId="57583247" w14:textId="77777777" w:rsidR="00AC7871" w:rsidRDefault="00AC7871" w:rsidP="00AC7871">
      <w:pPr>
        <w:pBdr>
          <w:left w:val="single" w:sz="4" w:space="4" w:color="auto"/>
        </w:pBdr>
        <w:ind w:left="284"/>
        <w:rPr>
          <w:b/>
          <w:i/>
        </w:rPr>
      </w:pPr>
    </w:p>
    <w:p w14:paraId="281AF6BB" w14:textId="0ED6E1C6" w:rsidR="00334A33" w:rsidRDefault="00DD1EBA" w:rsidP="00AC7871">
      <w:pPr>
        <w:pBdr>
          <w:left w:val="single" w:sz="4" w:space="4" w:color="auto"/>
        </w:pBdr>
        <w:ind w:left="284"/>
        <w:rPr>
          <w:i/>
        </w:rPr>
      </w:pPr>
      <w:r>
        <w:rPr>
          <w:i/>
        </w:rPr>
        <w:t>S</w:t>
      </w:r>
      <w:r w:rsidR="00334A33">
        <w:rPr>
          <w:i/>
        </w:rPr>
        <w:t>tatistiques trimestrielles</w:t>
      </w:r>
      <w:r w:rsidR="00AC7871">
        <w:rPr>
          <w:i/>
        </w:rPr>
        <w:t xml:space="preserve"> de la population détenue :</w:t>
      </w:r>
      <w:r w:rsidR="00334A33">
        <w:rPr>
          <w:i/>
        </w:rPr>
        <w:t xml:space="preserve"> </w:t>
      </w:r>
      <w:hyperlink r:id="rId10" w:history="1">
        <w:r w:rsidR="00334A33" w:rsidRPr="00EC0CE2">
          <w:rPr>
            <w:rStyle w:val="Lienhypertexte"/>
            <w:i/>
          </w:rPr>
          <w:t>www.justice.gouv.fr/prison-et-reinsertion-10036/les-chiffres-clefs-10041/statistiques-de-la-population-detenue-et-ecrouee-32891.html</w:t>
        </w:r>
      </w:hyperlink>
    </w:p>
    <w:p w14:paraId="3F8E1F5A" w14:textId="0E809B86" w:rsidR="00AC7871" w:rsidRDefault="00AC7871" w:rsidP="00AC7871">
      <w:pPr>
        <w:pBdr>
          <w:left w:val="single" w:sz="4" w:space="4" w:color="auto"/>
        </w:pBdr>
        <w:ind w:left="284"/>
        <w:rPr>
          <w:i/>
        </w:rPr>
      </w:pPr>
      <w:r>
        <w:rPr>
          <w:i/>
        </w:rPr>
        <w:t>C</w:t>
      </w:r>
      <w:r w:rsidR="00334A33">
        <w:rPr>
          <w:i/>
        </w:rPr>
        <w:t>ontrôleur général des lieux de privation de liberté</w:t>
      </w:r>
      <w:r>
        <w:rPr>
          <w:i/>
        </w:rPr>
        <w:t> :</w:t>
      </w:r>
      <w:r w:rsidR="00DD1EBA">
        <w:rPr>
          <w:i/>
        </w:rPr>
        <w:t xml:space="preserve"> </w:t>
      </w:r>
      <w:hyperlink r:id="rId11" w:history="1">
        <w:r w:rsidR="00DD1EBA" w:rsidRPr="00EC0CE2">
          <w:rPr>
            <w:rStyle w:val="Lienhypertexte"/>
            <w:i/>
          </w:rPr>
          <w:t>www.cglpl.fr</w:t>
        </w:r>
      </w:hyperlink>
    </w:p>
    <w:p w14:paraId="6AD3B99F" w14:textId="32C17590" w:rsidR="00DD1EBA" w:rsidRPr="00AC7871" w:rsidRDefault="00334A33" w:rsidP="00AC7871">
      <w:pPr>
        <w:pBdr>
          <w:left w:val="single" w:sz="4" w:space="4" w:color="auto"/>
        </w:pBdr>
        <w:ind w:left="284"/>
        <w:rPr>
          <w:i/>
        </w:rPr>
      </w:pPr>
      <w:r>
        <w:rPr>
          <w:i/>
        </w:rPr>
        <w:t xml:space="preserve">Observatoire international des prisons – Section française </w:t>
      </w:r>
      <w:r w:rsidR="00DD1EBA">
        <w:rPr>
          <w:i/>
        </w:rPr>
        <w:t xml:space="preserve">: </w:t>
      </w:r>
      <w:hyperlink r:id="rId12" w:history="1">
        <w:r w:rsidR="00DD1EBA" w:rsidRPr="00EC0CE2">
          <w:rPr>
            <w:rStyle w:val="Lienhypertexte"/>
            <w:i/>
          </w:rPr>
          <w:t>www.oip.org</w:t>
        </w:r>
      </w:hyperlink>
    </w:p>
    <w:p w14:paraId="05FA5C53" w14:textId="77777777" w:rsidR="00AC7871" w:rsidRDefault="00AC7871" w:rsidP="006146DC"/>
    <w:p w14:paraId="0CA5C552" w14:textId="4C6BC24D" w:rsidR="00190FC8" w:rsidRDefault="00F85DF1" w:rsidP="00F85DF1">
      <w:pPr>
        <w:pStyle w:val="Titre3"/>
      </w:pPr>
      <w:r>
        <w:t xml:space="preserve">Sur les conditions de détention de </w:t>
      </w:r>
      <w:r w:rsidRPr="00A7741D">
        <w:rPr>
          <w:highlight w:val="lightGray"/>
        </w:rPr>
        <w:t>Madame / Monsieur</w:t>
      </w:r>
      <w:r>
        <w:t xml:space="preserve"> </w:t>
      </w:r>
      <w:r>
        <w:fldChar w:fldCharType="begin">
          <w:ffData>
            <w:name w:val="Texte30"/>
            <w:enabled/>
            <w:calcOnExit w:val="0"/>
            <w:textInput/>
          </w:ffData>
        </w:fldChar>
      </w:r>
      <w:bookmarkStart w:id="26" w:name="Texte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75D886C9" w14:textId="77777777" w:rsidR="00190FC8" w:rsidRDefault="00190FC8" w:rsidP="006146DC"/>
    <w:p w14:paraId="0B76D9BE" w14:textId="29E7A02E" w:rsidR="00A7741D" w:rsidRDefault="005548A3" w:rsidP="00A7741D">
      <w:r w:rsidRPr="00F85DF1">
        <w:rPr>
          <w:highlight w:val="yellow"/>
        </w:rPr>
        <w:t xml:space="preserve">[Présenter </w:t>
      </w:r>
      <w:r>
        <w:rPr>
          <w:highlight w:val="yellow"/>
        </w:rPr>
        <w:t>les conditions de vie de votre client</w:t>
      </w:r>
      <w:r w:rsidR="00061C04">
        <w:rPr>
          <w:highlight w:val="yellow"/>
        </w:rPr>
        <w:t>(e)</w:t>
      </w:r>
      <w:r w:rsidR="00A7741D" w:rsidRPr="00F85DF1">
        <w:rPr>
          <w:highlight w:val="yellow"/>
        </w:rPr>
        <w:t xml:space="preserve"> : </w:t>
      </w:r>
      <w:r>
        <w:rPr>
          <w:highlight w:val="yellow"/>
        </w:rPr>
        <w:t>état du bâtiment, état de la cellule, nombre de codétenu(e)s, activités et travail, visites au parloir</w:t>
      </w:r>
      <w:r w:rsidR="00A7741D" w:rsidRPr="00F85DF1">
        <w:rPr>
          <w:highlight w:val="yellow"/>
        </w:rPr>
        <w:t>]</w:t>
      </w:r>
    </w:p>
    <w:p w14:paraId="115322CF" w14:textId="77777777" w:rsidR="00634476" w:rsidRDefault="00634476" w:rsidP="006146DC"/>
    <w:p w14:paraId="15D9671E" w14:textId="77777777" w:rsidR="00352D03" w:rsidRDefault="00352D03" w:rsidP="006146DC"/>
    <w:p w14:paraId="312F5F41" w14:textId="19B0271E" w:rsidR="00352D03" w:rsidRDefault="00352D03" w:rsidP="00352D03">
      <w:pPr>
        <w:jc w:val="center"/>
      </w:pPr>
      <w:r>
        <w:t>* * *</w:t>
      </w:r>
    </w:p>
    <w:p w14:paraId="016601E1" w14:textId="77777777" w:rsidR="00352D03" w:rsidRDefault="00352D03" w:rsidP="006146DC"/>
    <w:p w14:paraId="5FB8681F" w14:textId="3BF10C41" w:rsidR="00CC6A5C" w:rsidRDefault="00634476" w:rsidP="006146DC">
      <w:pPr>
        <w:rPr>
          <w:b/>
        </w:rPr>
      </w:pPr>
      <w:r w:rsidRPr="00634476">
        <w:rPr>
          <w:b/>
        </w:rPr>
        <w:t>Ainsi, il est indiscutable que</w:t>
      </w:r>
      <w:r w:rsidR="00CC6A5C">
        <w:rPr>
          <w:b/>
        </w:rPr>
        <w:t xml:space="preserve"> la description faite par </w:t>
      </w:r>
      <w:r w:rsidR="00CC6A5C" w:rsidRPr="00CC6A5C">
        <w:rPr>
          <w:b/>
          <w:highlight w:val="lightGray"/>
        </w:rPr>
        <w:t>Madame / Monsieur</w:t>
      </w:r>
      <w:r w:rsidR="00CC6A5C">
        <w:rPr>
          <w:b/>
        </w:rPr>
        <w:t xml:space="preserve"> </w:t>
      </w:r>
      <w:r w:rsidR="00CC6A5C">
        <w:rPr>
          <w:b/>
        </w:rPr>
        <w:fldChar w:fldCharType="begin">
          <w:ffData>
            <w:name w:val="Texte36"/>
            <w:enabled/>
            <w:calcOnExit w:val="0"/>
            <w:textInput/>
          </w:ffData>
        </w:fldChar>
      </w:r>
      <w:bookmarkStart w:id="27" w:name="Texte36"/>
      <w:r w:rsidR="00CC6A5C">
        <w:rPr>
          <w:b/>
        </w:rPr>
        <w:instrText xml:space="preserve"> FORMTEXT </w:instrText>
      </w:r>
      <w:r w:rsidR="00CC6A5C">
        <w:rPr>
          <w:b/>
        </w:rPr>
      </w:r>
      <w:r w:rsidR="00CC6A5C">
        <w:rPr>
          <w:b/>
        </w:rPr>
        <w:fldChar w:fldCharType="separate"/>
      </w:r>
      <w:r w:rsidR="00CC6A5C">
        <w:rPr>
          <w:b/>
          <w:noProof/>
        </w:rPr>
        <w:t> </w:t>
      </w:r>
      <w:r w:rsidR="00CC6A5C">
        <w:rPr>
          <w:b/>
          <w:noProof/>
        </w:rPr>
        <w:t> </w:t>
      </w:r>
      <w:r w:rsidR="00CC6A5C">
        <w:rPr>
          <w:b/>
          <w:noProof/>
        </w:rPr>
        <w:t> </w:t>
      </w:r>
      <w:r w:rsidR="00CC6A5C">
        <w:rPr>
          <w:b/>
          <w:noProof/>
        </w:rPr>
        <w:t> </w:t>
      </w:r>
      <w:r w:rsidR="00CC6A5C">
        <w:rPr>
          <w:b/>
          <w:noProof/>
        </w:rPr>
        <w:t> </w:t>
      </w:r>
      <w:r w:rsidR="00CC6A5C">
        <w:rPr>
          <w:b/>
        </w:rPr>
        <w:fldChar w:fldCharType="end"/>
      </w:r>
      <w:bookmarkEnd w:id="27"/>
      <w:r w:rsidR="00CC6A5C">
        <w:rPr>
          <w:b/>
        </w:rPr>
        <w:t xml:space="preserve"> </w:t>
      </w:r>
      <w:r w:rsidR="00CC6A5C" w:rsidRPr="00CC6A5C">
        <w:rPr>
          <w:b/>
        </w:rPr>
        <w:t>de ses conditions personnelles de détention est suffisamment</w:t>
      </w:r>
      <w:r w:rsidR="000E42B4">
        <w:rPr>
          <w:b/>
        </w:rPr>
        <w:t xml:space="preserve"> crédible, précise et actuelle pour constituer </w:t>
      </w:r>
      <w:r w:rsidR="00CC6A5C" w:rsidRPr="00CC6A5C">
        <w:rPr>
          <w:b/>
        </w:rPr>
        <w:t>un commencement de preuve de leur caractère indigne</w:t>
      </w:r>
      <w:r w:rsidR="000E42B4">
        <w:rPr>
          <w:b/>
        </w:rPr>
        <w:t>.</w:t>
      </w:r>
    </w:p>
    <w:p w14:paraId="6DA6A450" w14:textId="77777777" w:rsidR="00CC6A5C" w:rsidRDefault="00CC6A5C" w:rsidP="006146DC">
      <w:pPr>
        <w:rPr>
          <w:b/>
        </w:rPr>
      </w:pPr>
    </w:p>
    <w:p w14:paraId="2CFA8A26" w14:textId="77777777" w:rsidR="00CC6A5C" w:rsidRDefault="00CC6A5C" w:rsidP="006146DC">
      <w:pPr>
        <w:rPr>
          <w:b/>
        </w:rPr>
      </w:pPr>
    </w:p>
    <w:p w14:paraId="14ADBBA5" w14:textId="45296E57" w:rsidR="00A7741D" w:rsidRPr="00634476" w:rsidRDefault="000E42B4" w:rsidP="006146DC">
      <w:pPr>
        <w:rPr>
          <w:b/>
        </w:rPr>
      </w:pPr>
      <w:r>
        <w:rPr>
          <w:b/>
        </w:rPr>
        <w:lastRenderedPageBreak/>
        <w:t xml:space="preserve">Elles </w:t>
      </w:r>
      <w:r w:rsidR="00634476" w:rsidRPr="00634476">
        <w:rPr>
          <w:b/>
        </w:rPr>
        <w:t>sont manifestement contraires à l’article 3 de la Convention européenne de sauvegarde des droits de l’Homme.</w:t>
      </w:r>
    </w:p>
    <w:p w14:paraId="43073B69" w14:textId="77777777" w:rsidR="00352D03" w:rsidRDefault="00352D03" w:rsidP="006146DC"/>
    <w:p w14:paraId="1E4C359E" w14:textId="77777777" w:rsidR="009414B8" w:rsidRDefault="009414B8" w:rsidP="006146DC"/>
    <w:p w14:paraId="35F1D56F" w14:textId="2044E1E1" w:rsidR="006146DC" w:rsidRPr="0031543F" w:rsidRDefault="006146DC" w:rsidP="00143C6A">
      <w:pPr>
        <w:pStyle w:val="Titre1"/>
        <w:numPr>
          <w:ilvl w:val="0"/>
          <w:numId w:val="12"/>
        </w:numPr>
      </w:pPr>
      <w:r w:rsidRPr="0031543F">
        <w:t xml:space="preserve">SUR </w:t>
      </w:r>
      <w:r w:rsidR="00C33CAF">
        <w:t>LES CRITères de l’article 144 du Code de procédure pénale</w:t>
      </w:r>
    </w:p>
    <w:p w14:paraId="1995D1A1" w14:textId="16B75CEA" w:rsidR="006146DC" w:rsidRPr="0031543F" w:rsidRDefault="006146DC" w:rsidP="006146DC"/>
    <w:p w14:paraId="5A0D41B1" w14:textId="65957B92" w:rsidR="006146DC" w:rsidRDefault="005548A3" w:rsidP="006146DC">
      <w:r>
        <w:rPr>
          <w:highlight w:val="yellow"/>
        </w:rPr>
        <w:t>[À complé</w:t>
      </w:r>
      <w:r w:rsidRPr="009F614D">
        <w:rPr>
          <w:highlight w:val="yellow"/>
        </w:rPr>
        <w:t>ter]</w:t>
      </w:r>
    </w:p>
    <w:p w14:paraId="653A9CA4" w14:textId="77777777" w:rsidR="00F608C9" w:rsidRDefault="00F608C9" w:rsidP="006146DC"/>
    <w:p w14:paraId="01D0830A" w14:textId="4C457A95" w:rsidR="00352D03" w:rsidRPr="00F608C9" w:rsidRDefault="00352D03" w:rsidP="006146DC">
      <w:pPr>
        <w:rPr>
          <w:b/>
        </w:rPr>
      </w:pPr>
      <w:r w:rsidRPr="00F608C9">
        <w:rPr>
          <w:b/>
        </w:rPr>
        <w:t xml:space="preserve">Ainsi, il est acquis que le maintien en détention de </w:t>
      </w:r>
      <w:r w:rsidRPr="00F608C9">
        <w:rPr>
          <w:b/>
          <w:highlight w:val="lightGray"/>
        </w:rPr>
        <w:t>Madame / Monsieur</w:t>
      </w:r>
      <w:r w:rsidRPr="00F608C9">
        <w:rPr>
          <w:b/>
        </w:rPr>
        <w:t xml:space="preserve"> </w:t>
      </w:r>
      <w:r w:rsidRPr="00F608C9">
        <w:rPr>
          <w:b/>
        </w:rPr>
        <w:fldChar w:fldCharType="begin">
          <w:ffData>
            <w:name w:val="Texte35"/>
            <w:enabled/>
            <w:calcOnExit w:val="0"/>
            <w:textInput/>
          </w:ffData>
        </w:fldChar>
      </w:r>
      <w:bookmarkStart w:id="28" w:name="Texte35"/>
      <w:r w:rsidRPr="00F608C9">
        <w:rPr>
          <w:b/>
        </w:rPr>
        <w:instrText xml:space="preserve"> FORMTEXT </w:instrText>
      </w:r>
      <w:r w:rsidRPr="00F608C9">
        <w:rPr>
          <w:b/>
        </w:rPr>
      </w:r>
      <w:r w:rsidRPr="00F608C9">
        <w:rPr>
          <w:b/>
        </w:rPr>
        <w:fldChar w:fldCharType="separate"/>
      </w:r>
      <w:r w:rsidRPr="00F608C9">
        <w:rPr>
          <w:b/>
          <w:noProof/>
        </w:rPr>
        <w:t> </w:t>
      </w:r>
      <w:r w:rsidRPr="00F608C9">
        <w:rPr>
          <w:b/>
          <w:noProof/>
        </w:rPr>
        <w:t> </w:t>
      </w:r>
      <w:r w:rsidRPr="00F608C9">
        <w:rPr>
          <w:b/>
          <w:noProof/>
        </w:rPr>
        <w:t> </w:t>
      </w:r>
      <w:r w:rsidRPr="00F608C9">
        <w:rPr>
          <w:b/>
          <w:noProof/>
        </w:rPr>
        <w:t> </w:t>
      </w:r>
      <w:r w:rsidRPr="00F608C9">
        <w:rPr>
          <w:b/>
          <w:noProof/>
        </w:rPr>
        <w:t> </w:t>
      </w:r>
      <w:r w:rsidRPr="00F608C9">
        <w:rPr>
          <w:b/>
        </w:rPr>
        <w:fldChar w:fldCharType="end"/>
      </w:r>
      <w:bookmarkEnd w:id="28"/>
      <w:r w:rsidRPr="00F608C9">
        <w:rPr>
          <w:b/>
        </w:rPr>
        <w:t xml:space="preserve"> ne constitue pas l’</w:t>
      </w:r>
      <w:r w:rsidR="00F608C9" w:rsidRPr="00F608C9">
        <w:rPr>
          <w:b/>
        </w:rPr>
        <w:t>unique moyen de parvenir aux objectifs de l’article 144 du Code de procédure pénale.</w:t>
      </w:r>
    </w:p>
    <w:p w14:paraId="63EBA420" w14:textId="77777777" w:rsidR="00AC7871" w:rsidRDefault="00AC7871" w:rsidP="006146DC"/>
    <w:p w14:paraId="62744834" w14:textId="77777777" w:rsidR="00F608C9" w:rsidRPr="0031543F" w:rsidRDefault="00F608C9" w:rsidP="006146DC"/>
    <w:p w14:paraId="499E0EF9" w14:textId="77777777" w:rsidR="006146DC" w:rsidRPr="0031543F" w:rsidRDefault="006146DC" w:rsidP="006146DC">
      <w:pPr>
        <w:jc w:val="center"/>
      </w:pPr>
      <w:r w:rsidRPr="0031543F">
        <w:t>* * *</w:t>
      </w:r>
    </w:p>
    <w:p w14:paraId="6204563C" w14:textId="77777777" w:rsidR="00AC7871" w:rsidRPr="0031543F" w:rsidRDefault="00AC7871" w:rsidP="006146DC"/>
    <w:p w14:paraId="1A5C272C" w14:textId="77777777" w:rsidR="00902D1B" w:rsidRDefault="00902D1B" w:rsidP="00C33CAF">
      <w:pPr>
        <w:rPr>
          <w:b/>
          <w:lang w:eastAsia="fr-FR"/>
        </w:rPr>
      </w:pPr>
      <w:r>
        <w:rPr>
          <w:b/>
          <w:lang w:eastAsia="fr-FR"/>
        </w:rPr>
        <w:t>Pour l’ensemble de ces motifs</w:t>
      </w:r>
      <w:r w:rsidR="00C33CAF">
        <w:rPr>
          <w:b/>
          <w:lang w:eastAsia="fr-FR"/>
        </w:rPr>
        <w:t xml:space="preserve">, Madame / Monsieur </w:t>
      </w:r>
      <w:r w:rsidR="00C33CAF">
        <w:rPr>
          <w:b/>
          <w:lang w:eastAsia="fr-FR"/>
        </w:rPr>
        <w:fldChar w:fldCharType="begin">
          <w:ffData>
            <w:name w:val="Texte20"/>
            <w:enabled/>
            <w:calcOnExit w:val="0"/>
            <w:textInput/>
          </w:ffData>
        </w:fldChar>
      </w:r>
      <w:bookmarkStart w:id="29" w:name="Texte20"/>
      <w:r w:rsidR="00C33CAF">
        <w:rPr>
          <w:b/>
          <w:lang w:eastAsia="fr-FR"/>
        </w:rPr>
        <w:instrText xml:space="preserve"> FORMTEXT </w:instrText>
      </w:r>
      <w:r w:rsidR="00C33CAF">
        <w:rPr>
          <w:b/>
          <w:lang w:eastAsia="fr-FR"/>
        </w:rPr>
      </w:r>
      <w:r w:rsidR="00C33CAF">
        <w:rPr>
          <w:b/>
          <w:lang w:eastAsia="fr-FR"/>
        </w:rPr>
        <w:fldChar w:fldCharType="separate"/>
      </w:r>
      <w:r w:rsidR="00C33CAF">
        <w:rPr>
          <w:b/>
          <w:noProof/>
          <w:lang w:eastAsia="fr-FR"/>
        </w:rPr>
        <w:t> </w:t>
      </w:r>
      <w:r w:rsidR="00C33CAF">
        <w:rPr>
          <w:b/>
          <w:noProof/>
          <w:lang w:eastAsia="fr-FR"/>
        </w:rPr>
        <w:t> </w:t>
      </w:r>
      <w:r w:rsidR="00C33CAF">
        <w:rPr>
          <w:b/>
          <w:noProof/>
          <w:lang w:eastAsia="fr-FR"/>
        </w:rPr>
        <w:t> </w:t>
      </w:r>
      <w:r w:rsidR="00C33CAF">
        <w:rPr>
          <w:b/>
          <w:noProof/>
          <w:lang w:eastAsia="fr-FR"/>
        </w:rPr>
        <w:t> </w:t>
      </w:r>
      <w:r w:rsidR="00C33CAF">
        <w:rPr>
          <w:b/>
          <w:noProof/>
          <w:lang w:eastAsia="fr-FR"/>
        </w:rPr>
        <w:t> </w:t>
      </w:r>
      <w:r w:rsidR="00C33CAF">
        <w:rPr>
          <w:b/>
          <w:lang w:eastAsia="fr-FR"/>
        </w:rPr>
        <w:fldChar w:fldCharType="end"/>
      </w:r>
      <w:bookmarkEnd w:id="29"/>
      <w:r w:rsidR="00C33CAF">
        <w:rPr>
          <w:b/>
          <w:lang w:eastAsia="fr-FR"/>
        </w:rPr>
        <w:t xml:space="preserve"> est bien </w:t>
      </w:r>
      <w:r w:rsidR="00C33CAF" w:rsidRPr="00AC7871">
        <w:rPr>
          <w:b/>
          <w:highlight w:val="lightGray"/>
          <w:lang w:eastAsia="fr-FR"/>
        </w:rPr>
        <w:t>fondé</w:t>
      </w:r>
      <w:r w:rsidRPr="00AC7871">
        <w:rPr>
          <w:b/>
          <w:highlight w:val="lightGray"/>
          <w:lang w:eastAsia="fr-FR"/>
        </w:rPr>
        <w:t>(</w:t>
      </w:r>
      <w:r w:rsidR="00C33CAF" w:rsidRPr="00AC7871">
        <w:rPr>
          <w:b/>
          <w:highlight w:val="lightGray"/>
          <w:lang w:eastAsia="fr-FR"/>
        </w:rPr>
        <w:t>e</w:t>
      </w:r>
      <w:r w:rsidRPr="00AC7871">
        <w:rPr>
          <w:b/>
          <w:highlight w:val="lightGray"/>
          <w:lang w:eastAsia="fr-FR"/>
        </w:rPr>
        <w:t>)</w:t>
      </w:r>
      <w:r w:rsidR="00C33CAF">
        <w:rPr>
          <w:b/>
          <w:lang w:eastAsia="fr-FR"/>
        </w:rPr>
        <w:t xml:space="preserve"> à solliciter sa remise en liberté immédiate.</w:t>
      </w:r>
    </w:p>
    <w:p w14:paraId="0EC622FE" w14:textId="77777777" w:rsidR="006146DC" w:rsidRDefault="006146DC" w:rsidP="006146DC"/>
    <w:p w14:paraId="1A1E9DD6" w14:textId="46A65F9B" w:rsidR="009B12CC" w:rsidRPr="00DD34AD" w:rsidRDefault="009B12CC" w:rsidP="009B12CC">
      <w:pPr>
        <w:rPr>
          <w:b/>
        </w:rPr>
      </w:pPr>
      <w:r w:rsidRPr="00DD34AD">
        <w:rPr>
          <w:b/>
        </w:rPr>
        <w:t xml:space="preserve">Il conviendra dès lors d’ordonner la mise en liberté </w:t>
      </w:r>
      <w:r w:rsidRPr="00DD34AD">
        <w:rPr>
          <w:b/>
          <w:highlight w:val="lightGray"/>
        </w:rPr>
        <w:t>de Madame / Monsieur</w:t>
      </w:r>
      <w:r w:rsidRPr="00DD34AD">
        <w:rPr>
          <w:b/>
        </w:rPr>
        <w:t xml:space="preserve"> </w:t>
      </w:r>
      <w:r w:rsidRPr="00DD34AD">
        <w:rPr>
          <w:b/>
        </w:rPr>
        <w:fldChar w:fldCharType="begin">
          <w:ffData>
            <w:name w:val="Texte33"/>
            <w:enabled/>
            <w:calcOnExit w:val="0"/>
            <w:textInput/>
          </w:ffData>
        </w:fldChar>
      </w:r>
      <w:bookmarkStart w:id="30" w:name="Texte33"/>
      <w:r w:rsidRPr="00DD34AD">
        <w:rPr>
          <w:b/>
        </w:rPr>
        <w:instrText xml:space="preserve"> FORMTEXT </w:instrText>
      </w:r>
      <w:r w:rsidRPr="00DD34AD">
        <w:rPr>
          <w:b/>
        </w:rPr>
      </w:r>
      <w:r w:rsidRPr="00DD34AD">
        <w:rPr>
          <w:b/>
        </w:rPr>
        <w:fldChar w:fldCharType="separate"/>
      </w:r>
      <w:r w:rsidRPr="00DD34AD">
        <w:rPr>
          <w:b/>
          <w:noProof/>
        </w:rPr>
        <w:t> </w:t>
      </w:r>
      <w:r w:rsidRPr="00DD34AD">
        <w:rPr>
          <w:b/>
          <w:noProof/>
        </w:rPr>
        <w:t> </w:t>
      </w:r>
      <w:r w:rsidRPr="00DD34AD">
        <w:rPr>
          <w:b/>
          <w:noProof/>
        </w:rPr>
        <w:t> </w:t>
      </w:r>
      <w:r w:rsidRPr="00DD34AD">
        <w:rPr>
          <w:b/>
          <w:noProof/>
        </w:rPr>
        <w:t> </w:t>
      </w:r>
      <w:r w:rsidRPr="00DD34AD">
        <w:rPr>
          <w:b/>
          <w:noProof/>
        </w:rPr>
        <w:t> </w:t>
      </w:r>
      <w:r w:rsidRPr="00DD34AD">
        <w:rPr>
          <w:b/>
        </w:rPr>
        <w:fldChar w:fldCharType="end"/>
      </w:r>
      <w:bookmarkEnd w:id="30"/>
      <w:r w:rsidRPr="00DD34AD">
        <w:rPr>
          <w:b/>
        </w:rPr>
        <w:t xml:space="preserve">, étant précisé </w:t>
      </w:r>
      <w:r w:rsidRPr="00DD34AD">
        <w:rPr>
          <w:b/>
          <w:highlight w:val="lightGray"/>
        </w:rPr>
        <w:t>que cette dernière / ce dernier</w:t>
      </w:r>
      <w:r w:rsidRPr="00DD34AD">
        <w:rPr>
          <w:b/>
        </w:rPr>
        <w:t xml:space="preserve"> souhaite se conformer à toute mesure de contrôle judiciaire qui pourrait être prononcée.</w:t>
      </w:r>
    </w:p>
    <w:p w14:paraId="526FA705" w14:textId="77777777" w:rsidR="009B12CC" w:rsidRPr="0031543F" w:rsidRDefault="009B12CC" w:rsidP="006146DC"/>
    <w:p w14:paraId="62391E32" w14:textId="77777777" w:rsidR="006146DC" w:rsidRPr="0031543F" w:rsidRDefault="006146DC" w:rsidP="006146DC"/>
    <w:p w14:paraId="44485FA5" w14:textId="77777777" w:rsidR="006146DC" w:rsidRPr="0031543F" w:rsidRDefault="006146DC" w:rsidP="006146DC"/>
    <w:p w14:paraId="278A23F8" w14:textId="7DA70B34" w:rsidR="006146DC" w:rsidRPr="0031543F" w:rsidRDefault="006146DC" w:rsidP="006146DC">
      <w:pPr>
        <w:tabs>
          <w:tab w:val="left" w:pos="5103"/>
        </w:tabs>
        <w:rPr>
          <w:b/>
        </w:rPr>
      </w:pPr>
      <w:r w:rsidRPr="0031543F">
        <w:tab/>
      </w:r>
      <w:r w:rsidRPr="0031543F">
        <w:rPr>
          <w:b/>
        </w:rPr>
        <w:t xml:space="preserve">Le </w:t>
      </w:r>
      <w:r w:rsidR="00902D1B">
        <w:rPr>
          <w:b/>
        </w:rPr>
        <w:fldChar w:fldCharType="begin">
          <w:ffData>
            <w:name w:val="Texte21"/>
            <w:enabled/>
            <w:calcOnExit w:val="0"/>
            <w:textInput/>
          </w:ffData>
        </w:fldChar>
      </w:r>
      <w:bookmarkStart w:id="31" w:name="Texte21"/>
      <w:r w:rsidR="00902D1B">
        <w:rPr>
          <w:b/>
        </w:rPr>
        <w:instrText xml:space="preserve"> FORMTEXT </w:instrText>
      </w:r>
      <w:r w:rsidR="00902D1B">
        <w:rPr>
          <w:b/>
        </w:rPr>
      </w:r>
      <w:r w:rsidR="00902D1B">
        <w:rPr>
          <w:b/>
        </w:rPr>
        <w:fldChar w:fldCharType="separate"/>
      </w:r>
      <w:r w:rsidR="00902D1B">
        <w:rPr>
          <w:b/>
          <w:noProof/>
        </w:rPr>
        <w:t> </w:t>
      </w:r>
      <w:r w:rsidR="00902D1B">
        <w:rPr>
          <w:b/>
          <w:noProof/>
        </w:rPr>
        <w:t> </w:t>
      </w:r>
      <w:r w:rsidR="00902D1B">
        <w:rPr>
          <w:b/>
          <w:noProof/>
        </w:rPr>
        <w:t> </w:t>
      </w:r>
      <w:r w:rsidR="00902D1B">
        <w:rPr>
          <w:b/>
          <w:noProof/>
        </w:rPr>
        <w:t> </w:t>
      </w:r>
      <w:r w:rsidR="00902D1B">
        <w:rPr>
          <w:b/>
          <w:noProof/>
        </w:rPr>
        <w:t> </w:t>
      </w:r>
      <w:r w:rsidR="00902D1B">
        <w:rPr>
          <w:b/>
        </w:rPr>
        <w:fldChar w:fldCharType="end"/>
      </w:r>
      <w:bookmarkEnd w:id="31"/>
      <w:r w:rsidRPr="0031543F">
        <w:rPr>
          <w:b/>
        </w:rPr>
        <w:t xml:space="preserve">, à </w:t>
      </w:r>
      <w:r w:rsidR="00902D1B">
        <w:rPr>
          <w:b/>
        </w:rPr>
        <w:fldChar w:fldCharType="begin">
          <w:ffData>
            <w:name w:val="Texte22"/>
            <w:enabled/>
            <w:calcOnExit w:val="0"/>
            <w:textInput/>
          </w:ffData>
        </w:fldChar>
      </w:r>
      <w:bookmarkStart w:id="32" w:name="Texte22"/>
      <w:r w:rsidR="00902D1B">
        <w:rPr>
          <w:b/>
        </w:rPr>
        <w:instrText xml:space="preserve"> FORMTEXT </w:instrText>
      </w:r>
      <w:r w:rsidR="00902D1B">
        <w:rPr>
          <w:b/>
        </w:rPr>
      </w:r>
      <w:r w:rsidR="00902D1B">
        <w:rPr>
          <w:b/>
        </w:rPr>
        <w:fldChar w:fldCharType="separate"/>
      </w:r>
      <w:r w:rsidR="00902D1B">
        <w:rPr>
          <w:b/>
          <w:noProof/>
        </w:rPr>
        <w:t> </w:t>
      </w:r>
      <w:r w:rsidR="00902D1B">
        <w:rPr>
          <w:b/>
          <w:noProof/>
        </w:rPr>
        <w:t> </w:t>
      </w:r>
      <w:r w:rsidR="00902D1B">
        <w:rPr>
          <w:b/>
          <w:noProof/>
        </w:rPr>
        <w:t> </w:t>
      </w:r>
      <w:r w:rsidR="00902D1B">
        <w:rPr>
          <w:b/>
          <w:noProof/>
        </w:rPr>
        <w:t> </w:t>
      </w:r>
      <w:r w:rsidR="00902D1B">
        <w:rPr>
          <w:b/>
          <w:noProof/>
        </w:rPr>
        <w:t> </w:t>
      </w:r>
      <w:r w:rsidR="00902D1B">
        <w:rPr>
          <w:b/>
        </w:rPr>
        <w:fldChar w:fldCharType="end"/>
      </w:r>
      <w:bookmarkEnd w:id="32"/>
      <w:r w:rsidRPr="0031543F">
        <w:rPr>
          <w:b/>
        </w:rPr>
        <w:t>,</w:t>
      </w:r>
    </w:p>
    <w:p w14:paraId="7992B190" w14:textId="77777777" w:rsidR="006146DC" w:rsidRPr="0031543F" w:rsidRDefault="006146DC" w:rsidP="006146DC">
      <w:pPr>
        <w:tabs>
          <w:tab w:val="left" w:pos="5103"/>
        </w:tabs>
        <w:rPr>
          <w:b/>
        </w:rPr>
      </w:pPr>
    </w:p>
    <w:p w14:paraId="0BB2E4AA" w14:textId="4E1130C6" w:rsidR="006146DC" w:rsidRPr="0031543F" w:rsidRDefault="006146DC" w:rsidP="006146DC">
      <w:pPr>
        <w:tabs>
          <w:tab w:val="left" w:pos="5103"/>
        </w:tabs>
        <w:rPr>
          <w:b/>
        </w:rPr>
      </w:pPr>
      <w:r w:rsidRPr="0031543F">
        <w:rPr>
          <w:b/>
        </w:rPr>
        <w:tab/>
      </w:r>
      <w:r w:rsidR="00902D1B">
        <w:rPr>
          <w:b/>
        </w:rPr>
        <w:fldChar w:fldCharType="begin">
          <w:ffData>
            <w:name w:val="Texte23"/>
            <w:enabled/>
            <w:calcOnExit w:val="0"/>
            <w:textInput/>
          </w:ffData>
        </w:fldChar>
      </w:r>
      <w:bookmarkStart w:id="33" w:name="Texte23"/>
      <w:r w:rsidR="00902D1B">
        <w:rPr>
          <w:b/>
        </w:rPr>
        <w:instrText xml:space="preserve"> FORMTEXT </w:instrText>
      </w:r>
      <w:r w:rsidR="00902D1B">
        <w:rPr>
          <w:b/>
        </w:rPr>
      </w:r>
      <w:r w:rsidR="00902D1B">
        <w:rPr>
          <w:b/>
        </w:rPr>
        <w:fldChar w:fldCharType="separate"/>
      </w:r>
      <w:r w:rsidR="00902D1B">
        <w:rPr>
          <w:b/>
          <w:noProof/>
        </w:rPr>
        <w:t> </w:t>
      </w:r>
      <w:r w:rsidR="00902D1B">
        <w:rPr>
          <w:b/>
          <w:noProof/>
        </w:rPr>
        <w:t> </w:t>
      </w:r>
      <w:r w:rsidR="00902D1B">
        <w:rPr>
          <w:b/>
          <w:noProof/>
        </w:rPr>
        <w:t> </w:t>
      </w:r>
      <w:r w:rsidR="00902D1B">
        <w:rPr>
          <w:b/>
          <w:noProof/>
        </w:rPr>
        <w:t> </w:t>
      </w:r>
      <w:r w:rsidR="00902D1B">
        <w:rPr>
          <w:b/>
          <w:noProof/>
        </w:rPr>
        <w:t> </w:t>
      </w:r>
      <w:r w:rsidR="00902D1B">
        <w:rPr>
          <w:b/>
        </w:rPr>
        <w:fldChar w:fldCharType="end"/>
      </w:r>
      <w:bookmarkEnd w:id="33"/>
    </w:p>
    <w:p w14:paraId="68FB1144" w14:textId="10611437" w:rsidR="006146DC" w:rsidRPr="00BD5C35" w:rsidRDefault="006146DC" w:rsidP="006146DC">
      <w:pPr>
        <w:tabs>
          <w:tab w:val="left" w:pos="5103"/>
        </w:tabs>
        <w:rPr>
          <w:b/>
        </w:rPr>
      </w:pPr>
      <w:r w:rsidRPr="0031543F">
        <w:rPr>
          <w:b/>
        </w:rPr>
        <w:tab/>
        <w:t xml:space="preserve">Avocat au Barreau de </w:t>
      </w:r>
      <w:r w:rsidR="00902D1B">
        <w:rPr>
          <w:b/>
        </w:rPr>
        <w:fldChar w:fldCharType="begin">
          <w:ffData>
            <w:name w:val="Texte24"/>
            <w:enabled/>
            <w:calcOnExit w:val="0"/>
            <w:textInput/>
          </w:ffData>
        </w:fldChar>
      </w:r>
      <w:bookmarkStart w:id="34" w:name="Texte24"/>
      <w:r w:rsidR="00902D1B">
        <w:rPr>
          <w:b/>
        </w:rPr>
        <w:instrText xml:space="preserve"> FORMTEXT </w:instrText>
      </w:r>
      <w:r w:rsidR="00902D1B">
        <w:rPr>
          <w:b/>
        </w:rPr>
      </w:r>
      <w:r w:rsidR="00902D1B">
        <w:rPr>
          <w:b/>
        </w:rPr>
        <w:fldChar w:fldCharType="separate"/>
      </w:r>
      <w:r w:rsidR="00902D1B">
        <w:rPr>
          <w:b/>
          <w:noProof/>
        </w:rPr>
        <w:t> </w:t>
      </w:r>
      <w:r w:rsidR="00902D1B">
        <w:rPr>
          <w:b/>
          <w:noProof/>
        </w:rPr>
        <w:t> </w:t>
      </w:r>
      <w:r w:rsidR="00902D1B">
        <w:rPr>
          <w:b/>
          <w:noProof/>
        </w:rPr>
        <w:t> </w:t>
      </w:r>
      <w:r w:rsidR="00902D1B">
        <w:rPr>
          <w:b/>
          <w:noProof/>
        </w:rPr>
        <w:t> </w:t>
      </w:r>
      <w:r w:rsidR="00902D1B">
        <w:rPr>
          <w:b/>
          <w:noProof/>
        </w:rPr>
        <w:t> </w:t>
      </w:r>
      <w:r w:rsidR="00902D1B">
        <w:rPr>
          <w:b/>
        </w:rPr>
        <w:fldChar w:fldCharType="end"/>
      </w:r>
      <w:bookmarkEnd w:id="34"/>
    </w:p>
    <w:p w14:paraId="02D250CC" w14:textId="77777777" w:rsidR="006146DC" w:rsidRDefault="006146DC" w:rsidP="006146DC"/>
    <w:p w14:paraId="59725595" w14:textId="77777777" w:rsidR="006146DC" w:rsidRDefault="006146DC" w:rsidP="006146DC"/>
    <w:p w14:paraId="124A2D2B" w14:textId="77777777" w:rsidR="006146DC" w:rsidRPr="00762CF9" w:rsidRDefault="006146DC" w:rsidP="006146DC">
      <w:pPr>
        <w:rPr>
          <w:b/>
        </w:rPr>
      </w:pPr>
    </w:p>
    <w:p w14:paraId="42B394A7" w14:textId="77777777" w:rsidR="00421EC6" w:rsidRPr="006146DC" w:rsidRDefault="00421EC6" w:rsidP="006146DC"/>
    <w:sectPr w:rsidR="00421EC6" w:rsidRPr="006146DC" w:rsidSect="00C74AD2">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E0742" w14:textId="77777777" w:rsidR="0080573E" w:rsidRDefault="0080573E" w:rsidP="001872DC">
      <w:r>
        <w:separator/>
      </w:r>
    </w:p>
  </w:endnote>
  <w:endnote w:type="continuationSeparator" w:id="0">
    <w:p w14:paraId="4129E0DD" w14:textId="77777777" w:rsidR="0080573E" w:rsidRDefault="0080573E" w:rsidP="0018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5717" w14:textId="77777777" w:rsidR="009F1FAC" w:rsidRDefault="009F1FAC" w:rsidP="001872DC">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02ABCF39" w14:textId="77777777" w:rsidR="009F1FAC" w:rsidRDefault="009F1FAC" w:rsidP="001872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A01E" w14:textId="77777777" w:rsidR="009F1FAC" w:rsidRDefault="009F1FAC" w:rsidP="009F1FAC">
    <w:pPr>
      <w:pStyle w:val="Pieddepage"/>
      <w:jc w:val="right"/>
    </w:pPr>
    <w:r>
      <w:rPr>
        <w:rStyle w:val="Numrodepage"/>
      </w:rPr>
      <w:fldChar w:fldCharType="begin"/>
    </w:r>
    <w:r>
      <w:rPr>
        <w:rStyle w:val="Numrodepage"/>
      </w:rPr>
      <w:instrText xml:space="preserve">PAGE  </w:instrText>
    </w:r>
    <w:r>
      <w:rPr>
        <w:rStyle w:val="Numrodepage"/>
      </w:rPr>
      <w:fldChar w:fldCharType="separate"/>
    </w:r>
    <w:r w:rsidR="009414B8">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sidR="009414B8">
      <w:rPr>
        <w:rStyle w:val="Numrodepage"/>
        <w:noProof/>
      </w:rPr>
      <w:t>6</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82B7" w14:textId="77777777" w:rsidR="009F1FAC" w:rsidRDefault="009F1FAC" w:rsidP="006D3A47">
    <w:pPr>
      <w:pStyle w:val="Pieddepage"/>
      <w:jc w:val="right"/>
    </w:pPr>
    <w:r>
      <w:rPr>
        <w:rStyle w:val="Numrodepage"/>
      </w:rPr>
      <w:fldChar w:fldCharType="begin"/>
    </w:r>
    <w:r>
      <w:rPr>
        <w:rStyle w:val="Numrodepage"/>
      </w:rPr>
      <w:instrText xml:space="preserve">PAGE  </w:instrText>
    </w:r>
    <w:r>
      <w:rPr>
        <w:rStyle w:val="Numrodepage"/>
      </w:rPr>
      <w:fldChar w:fldCharType="separate"/>
    </w:r>
    <w:r w:rsidR="009414B8">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sidR="009414B8">
      <w:rPr>
        <w:rStyle w:val="Numrodepage"/>
        <w:noProof/>
      </w:rPr>
      <w:t>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64EDF" w14:textId="77777777" w:rsidR="0080573E" w:rsidRDefault="0080573E" w:rsidP="001872DC">
      <w:r>
        <w:separator/>
      </w:r>
    </w:p>
  </w:footnote>
  <w:footnote w:type="continuationSeparator" w:id="0">
    <w:p w14:paraId="540EB43E" w14:textId="77777777" w:rsidR="0080573E" w:rsidRDefault="0080573E" w:rsidP="0018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6ECF" w14:textId="77777777" w:rsidR="009F1FAC" w:rsidRDefault="009F1F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71FF"/>
    <w:multiLevelType w:val="hybridMultilevel"/>
    <w:tmpl w:val="66B226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E2168"/>
    <w:multiLevelType w:val="hybridMultilevel"/>
    <w:tmpl w:val="48228F56"/>
    <w:lvl w:ilvl="0" w:tplc="18F83D68">
      <w:start w:val="148"/>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B454E4"/>
    <w:multiLevelType w:val="hybridMultilevel"/>
    <w:tmpl w:val="D9F403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F52F1D"/>
    <w:multiLevelType w:val="hybridMultilevel"/>
    <w:tmpl w:val="CAC81810"/>
    <w:lvl w:ilvl="0" w:tplc="458C662A">
      <w:start w:val="14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55665"/>
    <w:multiLevelType w:val="hybridMultilevel"/>
    <w:tmpl w:val="58F2B2FE"/>
    <w:lvl w:ilvl="0" w:tplc="6CDCA550">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996B58"/>
    <w:multiLevelType w:val="hybridMultilevel"/>
    <w:tmpl w:val="BA90A6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095400"/>
    <w:multiLevelType w:val="hybridMultilevel"/>
    <w:tmpl w:val="524E0A3A"/>
    <w:lvl w:ilvl="0" w:tplc="00B0B7AC">
      <w:start w:val="1"/>
      <w:numFmt w:val="upperRoman"/>
      <w:lvlText w:val="%1."/>
      <w:lvlJc w:val="right"/>
      <w:pPr>
        <w:ind w:left="360" w:hanging="360"/>
      </w:pPr>
    </w:lvl>
    <w:lvl w:ilvl="1" w:tplc="B738727C">
      <w:start w:val="1"/>
      <w:numFmt w:val="upp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E055802"/>
    <w:multiLevelType w:val="hybridMultilevel"/>
    <w:tmpl w:val="71008EE6"/>
    <w:lvl w:ilvl="0" w:tplc="05307FFC">
      <w:start w:val="1"/>
      <w:numFmt w:val="bullet"/>
      <w:lvlText w:val="-"/>
      <w:lvlJc w:val="left"/>
      <w:pPr>
        <w:ind w:left="410" w:hanging="360"/>
      </w:pPr>
      <w:rPr>
        <w:rFonts w:ascii="Arial Narrow" w:eastAsiaTheme="minorHAnsi" w:hAnsi="Arial Narrow" w:cs="Times New Roman"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8" w15:restartNumberingAfterBreak="0">
    <w:nsid w:val="4FD560A1"/>
    <w:multiLevelType w:val="hybridMultilevel"/>
    <w:tmpl w:val="920C5F30"/>
    <w:lvl w:ilvl="0" w:tplc="EBD61D44">
      <w:numFmt w:val="bullet"/>
      <w:lvlText w:val="-"/>
      <w:lvlJc w:val="left"/>
      <w:pPr>
        <w:ind w:left="1582" w:hanging="360"/>
      </w:pPr>
      <w:rPr>
        <w:rFonts w:ascii="Cambria" w:eastAsiaTheme="minorEastAsia" w:hAnsi="Cambria" w:cstheme="minorBidi"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9" w15:restartNumberingAfterBreak="0">
    <w:nsid w:val="59722EF1"/>
    <w:multiLevelType w:val="hybridMultilevel"/>
    <w:tmpl w:val="2930915E"/>
    <w:lvl w:ilvl="0" w:tplc="90AED8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F83542"/>
    <w:multiLevelType w:val="hybridMultilevel"/>
    <w:tmpl w:val="800E3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2062CF"/>
    <w:multiLevelType w:val="hybridMultilevel"/>
    <w:tmpl w:val="CD5E385A"/>
    <w:lvl w:ilvl="0" w:tplc="EBD61D4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1F55D6"/>
    <w:multiLevelType w:val="hybridMultilevel"/>
    <w:tmpl w:val="9266D11E"/>
    <w:lvl w:ilvl="0" w:tplc="BCC44B70">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847836"/>
    <w:multiLevelType w:val="multilevel"/>
    <w:tmpl w:val="0BFAAFA0"/>
    <w:lvl w:ilvl="0">
      <w:start w:val="1"/>
      <w:numFmt w:val="decimal"/>
      <w:pStyle w:val="Titre1"/>
      <w:lvlText w:val="%1."/>
      <w:lvlJc w:val="left"/>
      <w:pPr>
        <w:ind w:left="360" w:hanging="360"/>
      </w:pPr>
    </w:lvl>
    <w:lvl w:ilvl="1">
      <w:start w:val="1"/>
      <w:numFmt w:val="upperLetter"/>
      <w:pStyle w:val="Titre2"/>
      <w:lvlText w:val="%2."/>
      <w:lvlJc w:val="left"/>
      <w:pPr>
        <w:ind w:left="720" w:hanging="360"/>
      </w:pPr>
    </w:lvl>
    <w:lvl w:ilvl="2">
      <w:start w:val="1"/>
      <w:numFmt w:val="decimal"/>
      <w:pStyle w:val="Titre3"/>
      <w:lvlText w:val="%3."/>
      <w:lvlJc w:val="left"/>
      <w:pPr>
        <w:ind w:left="1080" w:hanging="360"/>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CD588B"/>
    <w:multiLevelType w:val="hybridMultilevel"/>
    <w:tmpl w:val="0CAEE5F0"/>
    <w:lvl w:ilvl="0" w:tplc="18F83D68">
      <w:start w:val="148"/>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590DDA"/>
    <w:multiLevelType w:val="hybridMultilevel"/>
    <w:tmpl w:val="893E7DC4"/>
    <w:lvl w:ilvl="0" w:tplc="00B0B7AC">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13"/>
  </w:num>
  <w:num w:numId="3">
    <w:abstractNumId w:val="0"/>
  </w:num>
  <w:num w:numId="4">
    <w:abstractNumId w:val="5"/>
  </w:num>
  <w:num w:numId="5">
    <w:abstractNumId w:val="4"/>
  </w:num>
  <w:num w:numId="6">
    <w:abstractNumId w:val="2"/>
  </w:num>
  <w:num w:numId="7">
    <w:abstractNumId w:val="10"/>
  </w:num>
  <w:num w:numId="8">
    <w:abstractNumId w:val="7"/>
  </w:num>
  <w:num w:numId="9">
    <w:abstractNumId w:val="11"/>
  </w:num>
  <w:num w:numId="10">
    <w:abstractNumId w:val="9"/>
  </w:num>
  <w:num w:numId="11">
    <w:abstractNumId w:val="12"/>
  </w:num>
  <w:num w:numId="12">
    <w:abstractNumId w:val="15"/>
  </w:num>
  <w:num w:numId="13">
    <w:abstractNumId w:val="6"/>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DC"/>
    <w:rsid w:val="000155DB"/>
    <w:rsid w:val="000308F2"/>
    <w:rsid w:val="0003142D"/>
    <w:rsid w:val="0003357B"/>
    <w:rsid w:val="00036446"/>
    <w:rsid w:val="00061082"/>
    <w:rsid w:val="00061C04"/>
    <w:rsid w:val="00066676"/>
    <w:rsid w:val="00073536"/>
    <w:rsid w:val="00074D49"/>
    <w:rsid w:val="00092F11"/>
    <w:rsid w:val="000A6EDD"/>
    <w:rsid w:val="000B04F0"/>
    <w:rsid w:val="000C4731"/>
    <w:rsid w:val="000C5801"/>
    <w:rsid w:val="000C60F4"/>
    <w:rsid w:val="000E2597"/>
    <w:rsid w:val="000E3933"/>
    <w:rsid w:val="000E42B4"/>
    <w:rsid w:val="000E618D"/>
    <w:rsid w:val="000E7C11"/>
    <w:rsid w:val="000F3694"/>
    <w:rsid w:val="00100D3B"/>
    <w:rsid w:val="00104CC8"/>
    <w:rsid w:val="00111B0B"/>
    <w:rsid w:val="00120AB0"/>
    <w:rsid w:val="00133DEF"/>
    <w:rsid w:val="00135F13"/>
    <w:rsid w:val="00141D62"/>
    <w:rsid w:val="00143C6A"/>
    <w:rsid w:val="00145335"/>
    <w:rsid w:val="0015382F"/>
    <w:rsid w:val="00161849"/>
    <w:rsid w:val="00171162"/>
    <w:rsid w:val="001746AD"/>
    <w:rsid w:val="0017533C"/>
    <w:rsid w:val="00177368"/>
    <w:rsid w:val="001800F1"/>
    <w:rsid w:val="001872DC"/>
    <w:rsid w:val="00190FC8"/>
    <w:rsid w:val="001B2A9C"/>
    <w:rsid w:val="001C1255"/>
    <w:rsid w:val="001D58D7"/>
    <w:rsid w:val="002252BA"/>
    <w:rsid w:val="00232D84"/>
    <w:rsid w:val="0024159B"/>
    <w:rsid w:val="00241D28"/>
    <w:rsid w:val="00242DE2"/>
    <w:rsid w:val="00243A5D"/>
    <w:rsid w:val="00284787"/>
    <w:rsid w:val="00297583"/>
    <w:rsid w:val="002A5700"/>
    <w:rsid w:val="002B70DD"/>
    <w:rsid w:val="002C7920"/>
    <w:rsid w:val="002D7432"/>
    <w:rsid w:val="002E401A"/>
    <w:rsid w:val="002E4151"/>
    <w:rsid w:val="002E566C"/>
    <w:rsid w:val="002F2109"/>
    <w:rsid w:val="00300022"/>
    <w:rsid w:val="00301C10"/>
    <w:rsid w:val="00306586"/>
    <w:rsid w:val="003105D7"/>
    <w:rsid w:val="0031543F"/>
    <w:rsid w:val="00320136"/>
    <w:rsid w:val="00334A33"/>
    <w:rsid w:val="00343323"/>
    <w:rsid w:val="003467BE"/>
    <w:rsid w:val="00352D03"/>
    <w:rsid w:val="00362B0A"/>
    <w:rsid w:val="00366C51"/>
    <w:rsid w:val="00367DD2"/>
    <w:rsid w:val="00372954"/>
    <w:rsid w:val="00372975"/>
    <w:rsid w:val="00381B9C"/>
    <w:rsid w:val="00387EA5"/>
    <w:rsid w:val="003926BE"/>
    <w:rsid w:val="00392BBC"/>
    <w:rsid w:val="003C4DF3"/>
    <w:rsid w:val="00401CC1"/>
    <w:rsid w:val="00411C61"/>
    <w:rsid w:val="00415350"/>
    <w:rsid w:val="00421EC6"/>
    <w:rsid w:val="00427ACD"/>
    <w:rsid w:val="00433633"/>
    <w:rsid w:val="00435A2F"/>
    <w:rsid w:val="00436492"/>
    <w:rsid w:val="00441F41"/>
    <w:rsid w:val="00450B42"/>
    <w:rsid w:val="00450E36"/>
    <w:rsid w:val="00451326"/>
    <w:rsid w:val="00451536"/>
    <w:rsid w:val="00451CC3"/>
    <w:rsid w:val="00455FE0"/>
    <w:rsid w:val="00457013"/>
    <w:rsid w:val="004824B8"/>
    <w:rsid w:val="0048371E"/>
    <w:rsid w:val="00491572"/>
    <w:rsid w:val="004944F8"/>
    <w:rsid w:val="00495817"/>
    <w:rsid w:val="00496253"/>
    <w:rsid w:val="004A71C7"/>
    <w:rsid w:val="004B64FE"/>
    <w:rsid w:val="004C1E49"/>
    <w:rsid w:val="004C2409"/>
    <w:rsid w:val="004D5F40"/>
    <w:rsid w:val="004D774A"/>
    <w:rsid w:val="004E6F81"/>
    <w:rsid w:val="004F4C61"/>
    <w:rsid w:val="00505804"/>
    <w:rsid w:val="00505CC7"/>
    <w:rsid w:val="00533331"/>
    <w:rsid w:val="00547FF1"/>
    <w:rsid w:val="00553ACA"/>
    <w:rsid w:val="005548A3"/>
    <w:rsid w:val="00590042"/>
    <w:rsid w:val="00597B6E"/>
    <w:rsid w:val="005B3EC9"/>
    <w:rsid w:val="005B41FA"/>
    <w:rsid w:val="005B5988"/>
    <w:rsid w:val="005C3BF3"/>
    <w:rsid w:val="005C64D5"/>
    <w:rsid w:val="005D77DC"/>
    <w:rsid w:val="005F0FB4"/>
    <w:rsid w:val="005F2112"/>
    <w:rsid w:val="006146DC"/>
    <w:rsid w:val="00614BBE"/>
    <w:rsid w:val="006200BA"/>
    <w:rsid w:val="0063111B"/>
    <w:rsid w:val="006338E4"/>
    <w:rsid w:val="00634476"/>
    <w:rsid w:val="00645D6B"/>
    <w:rsid w:val="00660EB7"/>
    <w:rsid w:val="00662899"/>
    <w:rsid w:val="006675FF"/>
    <w:rsid w:val="00671048"/>
    <w:rsid w:val="006B76F1"/>
    <w:rsid w:val="006D3A47"/>
    <w:rsid w:val="006E5849"/>
    <w:rsid w:val="006E5FB5"/>
    <w:rsid w:val="00702994"/>
    <w:rsid w:val="00714ADC"/>
    <w:rsid w:val="00717F18"/>
    <w:rsid w:val="0072646A"/>
    <w:rsid w:val="007327BC"/>
    <w:rsid w:val="00742BD0"/>
    <w:rsid w:val="00743C0C"/>
    <w:rsid w:val="00763A0B"/>
    <w:rsid w:val="0076673F"/>
    <w:rsid w:val="00773762"/>
    <w:rsid w:val="00780A24"/>
    <w:rsid w:val="00781423"/>
    <w:rsid w:val="007847F5"/>
    <w:rsid w:val="007857A2"/>
    <w:rsid w:val="007A2CF4"/>
    <w:rsid w:val="007A6FCA"/>
    <w:rsid w:val="007B1795"/>
    <w:rsid w:val="007B2BF0"/>
    <w:rsid w:val="007C11D0"/>
    <w:rsid w:val="007D07D5"/>
    <w:rsid w:val="007D4E5F"/>
    <w:rsid w:val="007D7715"/>
    <w:rsid w:val="007E771E"/>
    <w:rsid w:val="0080573E"/>
    <w:rsid w:val="00816385"/>
    <w:rsid w:val="00821C94"/>
    <w:rsid w:val="00835562"/>
    <w:rsid w:val="008536E9"/>
    <w:rsid w:val="0086382C"/>
    <w:rsid w:val="00864CDB"/>
    <w:rsid w:val="00865C98"/>
    <w:rsid w:val="00884535"/>
    <w:rsid w:val="00892E94"/>
    <w:rsid w:val="008D06D9"/>
    <w:rsid w:val="008D5DC1"/>
    <w:rsid w:val="008E04FE"/>
    <w:rsid w:val="008F1C2B"/>
    <w:rsid w:val="008F22F7"/>
    <w:rsid w:val="008F2D6D"/>
    <w:rsid w:val="00902D1B"/>
    <w:rsid w:val="0093217D"/>
    <w:rsid w:val="009358CF"/>
    <w:rsid w:val="009414B8"/>
    <w:rsid w:val="00942A18"/>
    <w:rsid w:val="0094424B"/>
    <w:rsid w:val="00944D24"/>
    <w:rsid w:val="00953C2D"/>
    <w:rsid w:val="00954B0B"/>
    <w:rsid w:val="009573A0"/>
    <w:rsid w:val="00996805"/>
    <w:rsid w:val="009A5CB2"/>
    <w:rsid w:val="009B12CC"/>
    <w:rsid w:val="009B17ED"/>
    <w:rsid w:val="009B388C"/>
    <w:rsid w:val="009B74C1"/>
    <w:rsid w:val="009B7AFD"/>
    <w:rsid w:val="009C02B5"/>
    <w:rsid w:val="009D2F14"/>
    <w:rsid w:val="009D51A3"/>
    <w:rsid w:val="009D5C29"/>
    <w:rsid w:val="009E1A5B"/>
    <w:rsid w:val="009F1FAC"/>
    <w:rsid w:val="009F614D"/>
    <w:rsid w:val="009F6826"/>
    <w:rsid w:val="00A1274A"/>
    <w:rsid w:val="00A14248"/>
    <w:rsid w:val="00A263B6"/>
    <w:rsid w:val="00A33E30"/>
    <w:rsid w:val="00A352C7"/>
    <w:rsid w:val="00A41050"/>
    <w:rsid w:val="00A42610"/>
    <w:rsid w:val="00A5340B"/>
    <w:rsid w:val="00A667FF"/>
    <w:rsid w:val="00A72DA9"/>
    <w:rsid w:val="00A7741D"/>
    <w:rsid w:val="00A95A14"/>
    <w:rsid w:val="00AA19D9"/>
    <w:rsid w:val="00AA22D8"/>
    <w:rsid w:val="00AA64A4"/>
    <w:rsid w:val="00AB4AC8"/>
    <w:rsid w:val="00AB51D1"/>
    <w:rsid w:val="00AC1531"/>
    <w:rsid w:val="00AC2201"/>
    <w:rsid w:val="00AC4FF6"/>
    <w:rsid w:val="00AC7871"/>
    <w:rsid w:val="00AD0C15"/>
    <w:rsid w:val="00AD1FDE"/>
    <w:rsid w:val="00AD3D82"/>
    <w:rsid w:val="00AD430D"/>
    <w:rsid w:val="00AE5693"/>
    <w:rsid w:val="00AE5C22"/>
    <w:rsid w:val="00AE67A0"/>
    <w:rsid w:val="00B04D7B"/>
    <w:rsid w:val="00B109AC"/>
    <w:rsid w:val="00B46253"/>
    <w:rsid w:val="00B507BD"/>
    <w:rsid w:val="00B53C30"/>
    <w:rsid w:val="00B61A54"/>
    <w:rsid w:val="00B6610C"/>
    <w:rsid w:val="00B76D1E"/>
    <w:rsid w:val="00B81B8B"/>
    <w:rsid w:val="00B962FC"/>
    <w:rsid w:val="00BA2BEF"/>
    <w:rsid w:val="00BE0C08"/>
    <w:rsid w:val="00BE3575"/>
    <w:rsid w:val="00BE54DD"/>
    <w:rsid w:val="00BF3BE1"/>
    <w:rsid w:val="00BF4876"/>
    <w:rsid w:val="00C010BB"/>
    <w:rsid w:val="00C019D6"/>
    <w:rsid w:val="00C06A80"/>
    <w:rsid w:val="00C213A2"/>
    <w:rsid w:val="00C22851"/>
    <w:rsid w:val="00C255EB"/>
    <w:rsid w:val="00C27A18"/>
    <w:rsid w:val="00C30639"/>
    <w:rsid w:val="00C33CAF"/>
    <w:rsid w:val="00C34D50"/>
    <w:rsid w:val="00C350C3"/>
    <w:rsid w:val="00C4264D"/>
    <w:rsid w:val="00C43C5C"/>
    <w:rsid w:val="00C60098"/>
    <w:rsid w:val="00C74AD2"/>
    <w:rsid w:val="00C81C36"/>
    <w:rsid w:val="00C842C2"/>
    <w:rsid w:val="00CA0965"/>
    <w:rsid w:val="00CA5FD6"/>
    <w:rsid w:val="00CB2DF3"/>
    <w:rsid w:val="00CB4236"/>
    <w:rsid w:val="00CB7A8F"/>
    <w:rsid w:val="00CC6A5C"/>
    <w:rsid w:val="00CE0114"/>
    <w:rsid w:val="00CE105B"/>
    <w:rsid w:val="00CF5AA0"/>
    <w:rsid w:val="00CF6E17"/>
    <w:rsid w:val="00D413C1"/>
    <w:rsid w:val="00D413C4"/>
    <w:rsid w:val="00D437B7"/>
    <w:rsid w:val="00D476D7"/>
    <w:rsid w:val="00D52F00"/>
    <w:rsid w:val="00D5586A"/>
    <w:rsid w:val="00DB5EA8"/>
    <w:rsid w:val="00DD1EBA"/>
    <w:rsid w:val="00DD34AD"/>
    <w:rsid w:val="00DF3EB3"/>
    <w:rsid w:val="00E01656"/>
    <w:rsid w:val="00E02872"/>
    <w:rsid w:val="00E06738"/>
    <w:rsid w:val="00E116A1"/>
    <w:rsid w:val="00E16C1A"/>
    <w:rsid w:val="00E207A0"/>
    <w:rsid w:val="00E22A79"/>
    <w:rsid w:val="00E27958"/>
    <w:rsid w:val="00E3655B"/>
    <w:rsid w:val="00E4732B"/>
    <w:rsid w:val="00E50E6F"/>
    <w:rsid w:val="00E5440B"/>
    <w:rsid w:val="00E56935"/>
    <w:rsid w:val="00E67B44"/>
    <w:rsid w:val="00E703F5"/>
    <w:rsid w:val="00E87B8F"/>
    <w:rsid w:val="00E92553"/>
    <w:rsid w:val="00E93B69"/>
    <w:rsid w:val="00EB6B19"/>
    <w:rsid w:val="00EC4B96"/>
    <w:rsid w:val="00ED3206"/>
    <w:rsid w:val="00EF5E1A"/>
    <w:rsid w:val="00F07A21"/>
    <w:rsid w:val="00F32E96"/>
    <w:rsid w:val="00F4249B"/>
    <w:rsid w:val="00F459FF"/>
    <w:rsid w:val="00F526CB"/>
    <w:rsid w:val="00F52990"/>
    <w:rsid w:val="00F608C9"/>
    <w:rsid w:val="00F70A14"/>
    <w:rsid w:val="00F816BE"/>
    <w:rsid w:val="00F85DF1"/>
    <w:rsid w:val="00F9500F"/>
    <w:rsid w:val="00F9614B"/>
    <w:rsid w:val="00FA2DD2"/>
    <w:rsid w:val="00FB5272"/>
    <w:rsid w:val="00FC062B"/>
    <w:rsid w:val="00FC4E24"/>
    <w:rsid w:val="00FE1921"/>
    <w:rsid w:val="00FE6796"/>
    <w:rsid w:val="00FF1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1B4E8"/>
  <w14:defaultImageDpi w14:val="32767"/>
  <w15:chartTrackingRefBased/>
  <w15:docId w15:val="{47F76E7C-8AAF-491E-AE57-DAE7FF33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6DC"/>
    <w:pPr>
      <w:jc w:val="both"/>
    </w:pPr>
    <w:rPr>
      <w:rFonts w:ascii="Arial Narrow" w:hAnsi="Arial Narrow" w:cs="Times New Roman"/>
    </w:rPr>
  </w:style>
  <w:style w:type="paragraph" w:styleId="Titre1">
    <w:name w:val="heading 1"/>
    <w:basedOn w:val="Normal"/>
    <w:next w:val="Normal"/>
    <w:link w:val="Titre1Car"/>
    <w:uiPriority w:val="9"/>
    <w:qFormat/>
    <w:rsid w:val="00AC1531"/>
    <w:pPr>
      <w:keepNext/>
      <w:keepLines/>
      <w:numPr>
        <w:numId w:val="2"/>
      </w:numPr>
      <w:spacing w:before="240"/>
      <w:outlineLvl w:val="0"/>
    </w:pPr>
    <w:rPr>
      <w:rFonts w:eastAsiaTheme="majorEastAsia"/>
      <w:b/>
      <w:caps/>
      <w:szCs w:val="32"/>
      <w:u w:val="single"/>
    </w:rPr>
  </w:style>
  <w:style w:type="paragraph" w:styleId="Titre2">
    <w:name w:val="heading 2"/>
    <w:basedOn w:val="Titre1"/>
    <w:next w:val="Normal"/>
    <w:link w:val="Titre2Car"/>
    <w:uiPriority w:val="9"/>
    <w:unhideWhenUsed/>
    <w:qFormat/>
    <w:rsid w:val="001872DC"/>
    <w:pPr>
      <w:numPr>
        <w:ilvl w:val="1"/>
      </w:numPr>
      <w:outlineLvl w:val="1"/>
    </w:pPr>
    <w:rPr>
      <w:caps w:val="0"/>
    </w:rPr>
  </w:style>
  <w:style w:type="paragraph" w:styleId="Titre3">
    <w:name w:val="heading 3"/>
    <w:basedOn w:val="Titre2"/>
    <w:next w:val="Normal"/>
    <w:link w:val="Titre3Car"/>
    <w:uiPriority w:val="9"/>
    <w:unhideWhenUsed/>
    <w:qFormat/>
    <w:rsid w:val="001872DC"/>
    <w:pPr>
      <w:numPr>
        <w:ilvl w:val="2"/>
      </w:numPr>
      <w:outlineLvl w:val="2"/>
    </w:pPr>
    <w:rPr>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6382C"/>
    <w:pPr>
      <w:pBdr>
        <w:bottom w:val="single" w:sz="4" w:space="1" w:color="auto"/>
      </w:pBdr>
      <w:ind w:left="1134" w:right="1128"/>
      <w:contextualSpacing/>
      <w:jc w:val="center"/>
    </w:pPr>
    <w:rPr>
      <w:rFonts w:eastAsiaTheme="majorEastAsia" w:cstheme="majorBidi"/>
      <w:smallCaps/>
      <w:spacing w:val="-10"/>
      <w:kern w:val="28"/>
      <w:sz w:val="40"/>
      <w:szCs w:val="56"/>
    </w:rPr>
  </w:style>
  <w:style w:type="character" w:customStyle="1" w:styleId="TitreCar">
    <w:name w:val="Titre Car"/>
    <w:basedOn w:val="Policepardfaut"/>
    <w:link w:val="Titre"/>
    <w:uiPriority w:val="10"/>
    <w:rsid w:val="0086382C"/>
    <w:rPr>
      <w:rFonts w:ascii="Georgia" w:eastAsiaTheme="majorEastAsia" w:hAnsi="Georgia" w:cstheme="majorBidi"/>
      <w:smallCaps/>
      <w:noProof/>
      <w:spacing w:val="-10"/>
      <w:kern w:val="28"/>
      <w:sz w:val="40"/>
      <w:szCs w:val="56"/>
    </w:rPr>
  </w:style>
  <w:style w:type="paragraph" w:styleId="Sous-titre">
    <w:name w:val="Subtitle"/>
    <w:basedOn w:val="Normal"/>
    <w:next w:val="Normal"/>
    <w:link w:val="Sous-titreCar"/>
    <w:uiPriority w:val="11"/>
    <w:qFormat/>
    <w:rsid w:val="0086382C"/>
    <w:pPr>
      <w:spacing w:before="120"/>
      <w:ind w:left="1134" w:right="1128"/>
      <w:jc w:val="center"/>
    </w:pPr>
    <w:rPr>
      <w:smallCaps/>
      <w:sz w:val="28"/>
    </w:rPr>
  </w:style>
  <w:style w:type="character" w:customStyle="1" w:styleId="Sous-titreCar">
    <w:name w:val="Sous-titre Car"/>
    <w:basedOn w:val="Policepardfaut"/>
    <w:link w:val="Sous-titre"/>
    <w:uiPriority w:val="11"/>
    <w:rsid w:val="0086382C"/>
    <w:rPr>
      <w:rFonts w:ascii="Georgia" w:hAnsi="Georgia"/>
      <w:smallCaps/>
      <w:noProof/>
      <w:sz w:val="28"/>
    </w:rPr>
  </w:style>
  <w:style w:type="paragraph" w:styleId="Sansinterligne">
    <w:name w:val="No Spacing"/>
    <w:uiPriority w:val="1"/>
    <w:qFormat/>
    <w:rsid w:val="002E401A"/>
    <w:rPr>
      <w:rFonts w:ascii="Times New Roman" w:hAnsi="Times New Roman" w:cs="Times New Roman"/>
      <w:noProof/>
    </w:rPr>
  </w:style>
  <w:style w:type="paragraph" w:styleId="Citation">
    <w:name w:val="Quote"/>
    <w:basedOn w:val="Normal"/>
    <w:next w:val="Normal"/>
    <w:link w:val="CitationCar"/>
    <w:uiPriority w:val="29"/>
    <w:qFormat/>
    <w:rsid w:val="001872DC"/>
    <w:pPr>
      <w:spacing w:before="240"/>
      <w:ind w:left="862" w:right="862"/>
      <w:contextualSpacing/>
    </w:pPr>
    <w:rPr>
      <w:i/>
      <w:iCs/>
    </w:rPr>
  </w:style>
  <w:style w:type="character" w:customStyle="1" w:styleId="CitationCar">
    <w:name w:val="Citation Car"/>
    <w:basedOn w:val="Policepardfaut"/>
    <w:link w:val="Citation"/>
    <w:uiPriority w:val="29"/>
    <w:rsid w:val="001872DC"/>
    <w:rPr>
      <w:rFonts w:ascii="Arial Narrow" w:hAnsi="Arial Narrow" w:cs="Times New Roman"/>
      <w:i/>
      <w:iCs/>
      <w:sz w:val="22"/>
    </w:rPr>
  </w:style>
  <w:style w:type="character" w:customStyle="1" w:styleId="Titre1Car">
    <w:name w:val="Titre 1 Car"/>
    <w:basedOn w:val="Policepardfaut"/>
    <w:link w:val="Titre1"/>
    <w:uiPriority w:val="9"/>
    <w:rsid w:val="00AC1531"/>
    <w:rPr>
      <w:rFonts w:ascii="Arial Narrow" w:eastAsiaTheme="majorEastAsia" w:hAnsi="Arial Narrow" w:cs="Times New Roman"/>
      <w:b/>
      <w:caps/>
      <w:szCs w:val="32"/>
      <w:u w:val="single"/>
    </w:rPr>
  </w:style>
  <w:style w:type="character" w:customStyle="1" w:styleId="Titre2Car">
    <w:name w:val="Titre 2 Car"/>
    <w:basedOn w:val="Policepardfaut"/>
    <w:link w:val="Titre2"/>
    <w:uiPriority w:val="9"/>
    <w:rsid w:val="001872DC"/>
    <w:rPr>
      <w:rFonts w:ascii="Arial Narrow" w:eastAsiaTheme="majorEastAsia" w:hAnsi="Arial Narrow" w:cs="Times New Roman"/>
      <w:b/>
      <w:szCs w:val="32"/>
      <w:u w:val="single"/>
    </w:rPr>
  </w:style>
  <w:style w:type="paragraph" w:styleId="Paragraphedeliste">
    <w:name w:val="List Paragraph"/>
    <w:basedOn w:val="Normal"/>
    <w:uiPriority w:val="34"/>
    <w:qFormat/>
    <w:rsid w:val="00D5586A"/>
    <w:pPr>
      <w:ind w:left="720"/>
      <w:contextualSpacing/>
    </w:pPr>
  </w:style>
  <w:style w:type="paragraph" w:styleId="Notedebasdepage">
    <w:name w:val="footnote text"/>
    <w:basedOn w:val="Normal"/>
    <w:link w:val="NotedebasdepageCar"/>
    <w:uiPriority w:val="99"/>
    <w:unhideWhenUsed/>
    <w:rsid w:val="00D437B7"/>
  </w:style>
  <w:style w:type="character" w:customStyle="1" w:styleId="NotedebasdepageCar">
    <w:name w:val="Note de bas de page Car"/>
    <w:basedOn w:val="Policepardfaut"/>
    <w:link w:val="Notedebasdepage"/>
    <w:uiPriority w:val="99"/>
    <w:rsid w:val="00D437B7"/>
    <w:rPr>
      <w:rFonts w:ascii="Times New Roman" w:hAnsi="Times New Roman" w:cs="Times New Roman"/>
      <w:noProof/>
    </w:rPr>
  </w:style>
  <w:style w:type="character" w:styleId="Appelnotedebasdep">
    <w:name w:val="footnote reference"/>
    <w:basedOn w:val="Policepardfaut"/>
    <w:uiPriority w:val="99"/>
    <w:unhideWhenUsed/>
    <w:rsid w:val="00D437B7"/>
    <w:rPr>
      <w:vertAlign w:val="superscript"/>
    </w:rPr>
  </w:style>
  <w:style w:type="paragraph" w:styleId="En-tte">
    <w:name w:val="header"/>
    <w:basedOn w:val="Normal"/>
    <w:link w:val="En-tteCar"/>
    <w:uiPriority w:val="99"/>
    <w:unhideWhenUsed/>
    <w:rsid w:val="004A71C7"/>
    <w:pPr>
      <w:tabs>
        <w:tab w:val="center" w:pos="4536"/>
        <w:tab w:val="right" w:pos="9072"/>
      </w:tabs>
    </w:pPr>
  </w:style>
  <w:style w:type="character" w:customStyle="1" w:styleId="En-tteCar">
    <w:name w:val="En-tête Car"/>
    <w:basedOn w:val="Policepardfaut"/>
    <w:link w:val="En-tte"/>
    <w:uiPriority w:val="99"/>
    <w:rsid w:val="004A71C7"/>
    <w:rPr>
      <w:rFonts w:ascii="Times New Roman" w:hAnsi="Times New Roman" w:cs="Times New Roman"/>
      <w:noProof/>
    </w:rPr>
  </w:style>
  <w:style w:type="paragraph" w:styleId="Pieddepage">
    <w:name w:val="footer"/>
    <w:basedOn w:val="Normal"/>
    <w:link w:val="PieddepageCar"/>
    <w:uiPriority w:val="99"/>
    <w:unhideWhenUsed/>
    <w:rsid w:val="004A71C7"/>
    <w:pPr>
      <w:tabs>
        <w:tab w:val="center" w:pos="4536"/>
        <w:tab w:val="right" w:pos="9072"/>
      </w:tabs>
    </w:pPr>
  </w:style>
  <w:style w:type="character" w:customStyle="1" w:styleId="PieddepageCar">
    <w:name w:val="Pied de page Car"/>
    <w:basedOn w:val="Policepardfaut"/>
    <w:link w:val="Pieddepage"/>
    <w:uiPriority w:val="99"/>
    <w:rsid w:val="004A71C7"/>
    <w:rPr>
      <w:rFonts w:ascii="Times New Roman" w:hAnsi="Times New Roman" w:cs="Times New Roman"/>
      <w:noProof/>
    </w:rPr>
  </w:style>
  <w:style w:type="character" w:styleId="Numrodepage">
    <w:name w:val="page number"/>
    <w:basedOn w:val="Policepardfaut"/>
    <w:uiPriority w:val="99"/>
    <w:semiHidden/>
    <w:unhideWhenUsed/>
    <w:rsid w:val="004A71C7"/>
  </w:style>
  <w:style w:type="paragraph" w:styleId="Textedebulles">
    <w:name w:val="Balloon Text"/>
    <w:basedOn w:val="Normal"/>
    <w:link w:val="TextedebullesCar"/>
    <w:uiPriority w:val="99"/>
    <w:semiHidden/>
    <w:unhideWhenUsed/>
    <w:rsid w:val="00301C10"/>
    <w:rPr>
      <w:sz w:val="18"/>
      <w:szCs w:val="18"/>
    </w:rPr>
  </w:style>
  <w:style w:type="character" w:customStyle="1" w:styleId="TextedebullesCar">
    <w:name w:val="Texte de bulles Car"/>
    <w:basedOn w:val="Policepardfaut"/>
    <w:link w:val="Textedebulles"/>
    <w:uiPriority w:val="99"/>
    <w:semiHidden/>
    <w:rsid w:val="00301C10"/>
    <w:rPr>
      <w:rFonts w:ascii="Times New Roman" w:hAnsi="Times New Roman" w:cs="Times New Roman"/>
      <w:noProof/>
      <w:sz w:val="18"/>
      <w:szCs w:val="18"/>
    </w:rPr>
  </w:style>
  <w:style w:type="character" w:styleId="Accentuation">
    <w:name w:val="Emphasis"/>
    <w:uiPriority w:val="20"/>
    <w:qFormat/>
    <w:rsid w:val="000F3694"/>
    <w:rPr>
      <w:rFonts w:cs="Times New Roman"/>
    </w:rPr>
  </w:style>
  <w:style w:type="character" w:styleId="Accentuationlgre">
    <w:name w:val="Subtle Emphasis"/>
    <w:basedOn w:val="Policepardfaut"/>
    <w:uiPriority w:val="19"/>
    <w:qFormat/>
    <w:rsid w:val="000F3694"/>
    <w:rPr>
      <w:i/>
      <w:iCs/>
      <w:color w:val="404040" w:themeColor="text1" w:themeTint="BF"/>
    </w:rPr>
  </w:style>
  <w:style w:type="character" w:customStyle="1" w:styleId="Titre3Car">
    <w:name w:val="Titre 3 Car"/>
    <w:basedOn w:val="Policepardfaut"/>
    <w:link w:val="Titre3"/>
    <w:uiPriority w:val="9"/>
    <w:rsid w:val="001872DC"/>
    <w:rPr>
      <w:rFonts w:ascii="Arial Narrow" w:eastAsiaTheme="majorEastAsia" w:hAnsi="Arial Narrow" w:cs="Times New Roman"/>
      <w:i/>
      <w:szCs w:val="32"/>
      <w:u w:val="single"/>
    </w:rPr>
  </w:style>
  <w:style w:type="character" w:customStyle="1" w:styleId="surlignage">
    <w:name w:val="surlignage"/>
    <w:basedOn w:val="Policepardfaut"/>
    <w:rsid w:val="006146DC"/>
  </w:style>
  <w:style w:type="character" w:styleId="Lienhypertexte">
    <w:name w:val="Hyperlink"/>
    <w:basedOn w:val="Policepardfaut"/>
    <w:uiPriority w:val="99"/>
    <w:unhideWhenUsed/>
    <w:rsid w:val="00DD1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588">
      <w:bodyDiv w:val="1"/>
      <w:marLeft w:val="0"/>
      <w:marRight w:val="0"/>
      <w:marTop w:val="0"/>
      <w:marBottom w:val="0"/>
      <w:divBdr>
        <w:top w:val="none" w:sz="0" w:space="0" w:color="auto"/>
        <w:left w:val="none" w:sz="0" w:space="0" w:color="auto"/>
        <w:bottom w:val="none" w:sz="0" w:space="0" w:color="auto"/>
        <w:right w:val="none" w:sz="0" w:space="0" w:color="auto"/>
      </w:divBdr>
    </w:div>
    <w:div w:id="42677051">
      <w:bodyDiv w:val="1"/>
      <w:marLeft w:val="0"/>
      <w:marRight w:val="0"/>
      <w:marTop w:val="0"/>
      <w:marBottom w:val="0"/>
      <w:divBdr>
        <w:top w:val="none" w:sz="0" w:space="0" w:color="auto"/>
        <w:left w:val="none" w:sz="0" w:space="0" w:color="auto"/>
        <w:bottom w:val="none" w:sz="0" w:space="0" w:color="auto"/>
        <w:right w:val="none" w:sz="0" w:space="0" w:color="auto"/>
      </w:divBdr>
    </w:div>
    <w:div w:id="121773194">
      <w:bodyDiv w:val="1"/>
      <w:marLeft w:val="0"/>
      <w:marRight w:val="0"/>
      <w:marTop w:val="0"/>
      <w:marBottom w:val="0"/>
      <w:divBdr>
        <w:top w:val="none" w:sz="0" w:space="0" w:color="auto"/>
        <w:left w:val="none" w:sz="0" w:space="0" w:color="auto"/>
        <w:bottom w:val="none" w:sz="0" w:space="0" w:color="auto"/>
        <w:right w:val="none" w:sz="0" w:space="0" w:color="auto"/>
      </w:divBdr>
    </w:div>
    <w:div w:id="280888568">
      <w:bodyDiv w:val="1"/>
      <w:marLeft w:val="0"/>
      <w:marRight w:val="0"/>
      <w:marTop w:val="0"/>
      <w:marBottom w:val="0"/>
      <w:divBdr>
        <w:top w:val="none" w:sz="0" w:space="0" w:color="auto"/>
        <w:left w:val="none" w:sz="0" w:space="0" w:color="auto"/>
        <w:bottom w:val="none" w:sz="0" w:space="0" w:color="auto"/>
        <w:right w:val="none" w:sz="0" w:space="0" w:color="auto"/>
      </w:divBdr>
    </w:div>
    <w:div w:id="353314010">
      <w:bodyDiv w:val="1"/>
      <w:marLeft w:val="0"/>
      <w:marRight w:val="0"/>
      <w:marTop w:val="0"/>
      <w:marBottom w:val="0"/>
      <w:divBdr>
        <w:top w:val="none" w:sz="0" w:space="0" w:color="auto"/>
        <w:left w:val="none" w:sz="0" w:space="0" w:color="auto"/>
        <w:bottom w:val="none" w:sz="0" w:space="0" w:color="auto"/>
        <w:right w:val="none" w:sz="0" w:space="0" w:color="auto"/>
      </w:divBdr>
    </w:div>
    <w:div w:id="387842777">
      <w:bodyDiv w:val="1"/>
      <w:marLeft w:val="0"/>
      <w:marRight w:val="0"/>
      <w:marTop w:val="0"/>
      <w:marBottom w:val="0"/>
      <w:divBdr>
        <w:top w:val="none" w:sz="0" w:space="0" w:color="auto"/>
        <w:left w:val="none" w:sz="0" w:space="0" w:color="auto"/>
        <w:bottom w:val="none" w:sz="0" w:space="0" w:color="auto"/>
        <w:right w:val="none" w:sz="0" w:space="0" w:color="auto"/>
      </w:divBdr>
    </w:div>
    <w:div w:id="413283724">
      <w:bodyDiv w:val="1"/>
      <w:marLeft w:val="0"/>
      <w:marRight w:val="0"/>
      <w:marTop w:val="0"/>
      <w:marBottom w:val="0"/>
      <w:divBdr>
        <w:top w:val="none" w:sz="0" w:space="0" w:color="auto"/>
        <w:left w:val="none" w:sz="0" w:space="0" w:color="auto"/>
        <w:bottom w:val="none" w:sz="0" w:space="0" w:color="auto"/>
        <w:right w:val="none" w:sz="0" w:space="0" w:color="auto"/>
      </w:divBdr>
    </w:div>
    <w:div w:id="485973363">
      <w:bodyDiv w:val="1"/>
      <w:marLeft w:val="0"/>
      <w:marRight w:val="0"/>
      <w:marTop w:val="0"/>
      <w:marBottom w:val="0"/>
      <w:divBdr>
        <w:top w:val="none" w:sz="0" w:space="0" w:color="auto"/>
        <w:left w:val="none" w:sz="0" w:space="0" w:color="auto"/>
        <w:bottom w:val="none" w:sz="0" w:space="0" w:color="auto"/>
        <w:right w:val="none" w:sz="0" w:space="0" w:color="auto"/>
      </w:divBdr>
    </w:div>
    <w:div w:id="731659907">
      <w:bodyDiv w:val="1"/>
      <w:marLeft w:val="0"/>
      <w:marRight w:val="0"/>
      <w:marTop w:val="0"/>
      <w:marBottom w:val="0"/>
      <w:divBdr>
        <w:top w:val="none" w:sz="0" w:space="0" w:color="auto"/>
        <w:left w:val="none" w:sz="0" w:space="0" w:color="auto"/>
        <w:bottom w:val="none" w:sz="0" w:space="0" w:color="auto"/>
        <w:right w:val="none" w:sz="0" w:space="0" w:color="auto"/>
      </w:divBdr>
    </w:div>
    <w:div w:id="789393367">
      <w:bodyDiv w:val="1"/>
      <w:marLeft w:val="0"/>
      <w:marRight w:val="0"/>
      <w:marTop w:val="0"/>
      <w:marBottom w:val="0"/>
      <w:divBdr>
        <w:top w:val="none" w:sz="0" w:space="0" w:color="auto"/>
        <w:left w:val="none" w:sz="0" w:space="0" w:color="auto"/>
        <w:bottom w:val="none" w:sz="0" w:space="0" w:color="auto"/>
        <w:right w:val="none" w:sz="0" w:space="0" w:color="auto"/>
      </w:divBdr>
    </w:div>
    <w:div w:id="808203942">
      <w:bodyDiv w:val="1"/>
      <w:marLeft w:val="0"/>
      <w:marRight w:val="0"/>
      <w:marTop w:val="0"/>
      <w:marBottom w:val="0"/>
      <w:divBdr>
        <w:top w:val="none" w:sz="0" w:space="0" w:color="auto"/>
        <w:left w:val="none" w:sz="0" w:space="0" w:color="auto"/>
        <w:bottom w:val="none" w:sz="0" w:space="0" w:color="auto"/>
        <w:right w:val="none" w:sz="0" w:space="0" w:color="auto"/>
      </w:divBdr>
    </w:div>
    <w:div w:id="855507890">
      <w:bodyDiv w:val="1"/>
      <w:marLeft w:val="0"/>
      <w:marRight w:val="0"/>
      <w:marTop w:val="0"/>
      <w:marBottom w:val="0"/>
      <w:divBdr>
        <w:top w:val="none" w:sz="0" w:space="0" w:color="auto"/>
        <w:left w:val="none" w:sz="0" w:space="0" w:color="auto"/>
        <w:bottom w:val="none" w:sz="0" w:space="0" w:color="auto"/>
        <w:right w:val="none" w:sz="0" w:space="0" w:color="auto"/>
      </w:divBdr>
    </w:div>
    <w:div w:id="1056273139">
      <w:bodyDiv w:val="1"/>
      <w:marLeft w:val="0"/>
      <w:marRight w:val="0"/>
      <w:marTop w:val="0"/>
      <w:marBottom w:val="0"/>
      <w:divBdr>
        <w:top w:val="none" w:sz="0" w:space="0" w:color="auto"/>
        <w:left w:val="none" w:sz="0" w:space="0" w:color="auto"/>
        <w:bottom w:val="none" w:sz="0" w:space="0" w:color="auto"/>
        <w:right w:val="none" w:sz="0" w:space="0" w:color="auto"/>
      </w:divBdr>
    </w:div>
    <w:div w:id="1133989145">
      <w:bodyDiv w:val="1"/>
      <w:marLeft w:val="0"/>
      <w:marRight w:val="0"/>
      <w:marTop w:val="0"/>
      <w:marBottom w:val="0"/>
      <w:divBdr>
        <w:top w:val="none" w:sz="0" w:space="0" w:color="auto"/>
        <w:left w:val="none" w:sz="0" w:space="0" w:color="auto"/>
        <w:bottom w:val="none" w:sz="0" w:space="0" w:color="auto"/>
        <w:right w:val="none" w:sz="0" w:space="0" w:color="auto"/>
      </w:divBdr>
    </w:div>
    <w:div w:id="1213662378">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300573888">
      <w:bodyDiv w:val="1"/>
      <w:marLeft w:val="0"/>
      <w:marRight w:val="0"/>
      <w:marTop w:val="0"/>
      <w:marBottom w:val="0"/>
      <w:divBdr>
        <w:top w:val="none" w:sz="0" w:space="0" w:color="auto"/>
        <w:left w:val="none" w:sz="0" w:space="0" w:color="auto"/>
        <w:bottom w:val="none" w:sz="0" w:space="0" w:color="auto"/>
        <w:right w:val="none" w:sz="0" w:space="0" w:color="auto"/>
      </w:divBdr>
    </w:div>
    <w:div w:id="1320185419">
      <w:bodyDiv w:val="1"/>
      <w:marLeft w:val="0"/>
      <w:marRight w:val="0"/>
      <w:marTop w:val="0"/>
      <w:marBottom w:val="0"/>
      <w:divBdr>
        <w:top w:val="none" w:sz="0" w:space="0" w:color="auto"/>
        <w:left w:val="none" w:sz="0" w:space="0" w:color="auto"/>
        <w:bottom w:val="none" w:sz="0" w:space="0" w:color="auto"/>
        <w:right w:val="none" w:sz="0" w:space="0" w:color="auto"/>
      </w:divBdr>
    </w:div>
    <w:div w:id="1394431662">
      <w:bodyDiv w:val="1"/>
      <w:marLeft w:val="0"/>
      <w:marRight w:val="0"/>
      <w:marTop w:val="0"/>
      <w:marBottom w:val="0"/>
      <w:divBdr>
        <w:top w:val="none" w:sz="0" w:space="0" w:color="auto"/>
        <w:left w:val="none" w:sz="0" w:space="0" w:color="auto"/>
        <w:bottom w:val="none" w:sz="0" w:space="0" w:color="auto"/>
        <w:right w:val="none" w:sz="0" w:space="0" w:color="auto"/>
      </w:divBdr>
    </w:div>
    <w:div w:id="1414737577">
      <w:bodyDiv w:val="1"/>
      <w:marLeft w:val="0"/>
      <w:marRight w:val="0"/>
      <w:marTop w:val="0"/>
      <w:marBottom w:val="0"/>
      <w:divBdr>
        <w:top w:val="none" w:sz="0" w:space="0" w:color="auto"/>
        <w:left w:val="none" w:sz="0" w:space="0" w:color="auto"/>
        <w:bottom w:val="none" w:sz="0" w:space="0" w:color="auto"/>
        <w:right w:val="none" w:sz="0" w:space="0" w:color="auto"/>
      </w:divBdr>
    </w:div>
    <w:div w:id="1597791697">
      <w:bodyDiv w:val="1"/>
      <w:marLeft w:val="0"/>
      <w:marRight w:val="0"/>
      <w:marTop w:val="0"/>
      <w:marBottom w:val="0"/>
      <w:divBdr>
        <w:top w:val="none" w:sz="0" w:space="0" w:color="auto"/>
        <w:left w:val="none" w:sz="0" w:space="0" w:color="auto"/>
        <w:bottom w:val="none" w:sz="0" w:space="0" w:color="auto"/>
        <w:right w:val="none" w:sz="0" w:space="0" w:color="auto"/>
      </w:divBdr>
    </w:div>
    <w:div w:id="1606384682">
      <w:bodyDiv w:val="1"/>
      <w:marLeft w:val="0"/>
      <w:marRight w:val="0"/>
      <w:marTop w:val="0"/>
      <w:marBottom w:val="0"/>
      <w:divBdr>
        <w:top w:val="none" w:sz="0" w:space="0" w:color="auto"/>
        <w:left w:val="none" w:sz="0" w:space="0" w:color="auto"/>
        <w:bottom w:val="none" w:sz="0" w:space="0" w:color="auto"/>
        <w:right w:val="none" w:sz="0" w:space="0" w:color="auto"/>
      </w:divBdr>
    </w:div>
    <w:div w:id="1755010645">
      <w:bodyDiv w:val="1"/>
      <w:marLeft w:val="0"/>
      <w:marRight w:val="0"/>
      <w:marTop w:val="0"/>
      <w:marBottom w:val="0"/>
      <w:divBdr>
        <w:top w:val="none" w:sz="0" w:space="0" w:color="auto"/>
        <w:left w:val="none" w:sz="0" w:space="0" w:color="auto"/>
        <w:bottom w:val="none" w:sz="0" w:space="0" w:color="auto"/>
        <w:right w:val="none" w:sz="0" w:space="0" w:color="auto"/>
      </w:divBdr>
    </w:div>
    <w:div w:id="1966309228">
      <w:bodyDiv w:val="1"/>
      <w:marLeft w:val="0"/>
      <w:marRight w:val="0"/>
      <w:marTop w:val="0"/>
      <w:marBottom w:val="0"/>
      <w:divBdr>
        <w:top w:val="none" w:sz="0" w:space="0" w:color="auto"/>
        <w:left w:val="none" w:sz="0" w:space="0" w:color="auto"/>
        <w:bottom w:val="none" w:sz="0" w:space="0" w:color="auto"/>
        <w:right w:val="none" w:sz="0" w:space="0" w:color="auto"/>
      </w:divBdr>
      <w:divsChild>
        <w:div w:id="1378434449">
          <w:marLeft w:val="0"/>
          <w:marRight w:val="0"/>
          <w:marTop w:val="0"/>
          <w:marBottom w:val="0"/>
          <w:divBdr>
            <w:top w:val="none" w:sz="0" w:space="0" w:color="auto"/>
            <w:left w:val="none" w:sz="0" w:space="0" w:color="auto"/>
            <w:bottom w:val="none" w:sz="0" w:space="0" w:color="auto"/>
            <w:right w:val="none" w:sz="0" w:space="0" w:color="auto"/>
          </w:divBdr>
        </w:div>
      </w:divsChild>
    </w:div>
    <w:div w:id="2056729744">
      <w:bodyDiv w:val="1"/>
      <w:marLeft w:val="0"/>
      <w:marRight w:val="0"/>
      <w:marTop w:val="0"/>
      <w:marBottom w:val="0"/>
      <w:divBdr>
        <w:top w:val="none" w:sz="0" w:space="0" w:color="auto"/>
        <w:left w:val="none" w:sz="0" w:space="0" w:color="auto"/>
        <w:bottom w:val="none" w:sz="0" w:space="0" w:color="auto"/>
        <w:right w:val="none" w:sz="0" w:space="0" w:color="auto"/>
      </w:divBdr>
    </w:div>
    <w:div w:id="2079476346">
      <w:bodyDiv w:val="1"/>
      <w:marLeft w:val="0"/>
      <w:marRight w:val="0"/>
      <w:marTop w:val="0"/>
      <w:marBottom w:val="0"/>
      <w:divBdr>
        <w:top w:val="none" w:sz="0" w:space="0" w:color="auto"/>
        <w:left w:val="none" w:sz="0" w:space="0" w:color="auto"/>
        <w:bottom w:val="none" w:sz="0" w:space="0" w:color="auto"/>
        <w:right w:val="none" w:sz="0" w:space="0" w:color="auto"/>
      </w:divBdr>
    </w:div>
    <w:div w:id="2132749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i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lp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stice.gouv.fr/prison-et-reinsertion-10036/les-chiffres-clefs-10041/statistiques-de-la-population-detenue-et-ecrouee-32891.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eu%20QUINQUIS\Documents\Mod&#232;les%20Office%20personnalis&#233;s\Conclusion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D6F444-2C7B-3541-B1F1-7B1CEA6C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Conclusions</Template>
  <TotalTime>167</TotalTime>
  <Pages>6</Pages>
  <Words>2103</Words>
  <Characters>11572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Quinquis</dc:creator>
  <cp:keywords/>
  <dc:description/>
  <cp:lastModifiedBy>Matthieu Quinquis</cp:lastModifiedBy>
  <cp:revision>14</cp:revision>
  <cp:lastPrinted>2017-04-03T07:37:00Z</cp:lastPrinted>
  <dcterms:created xsi:type="dcterms:W3CDTF">2020-07-10T15:53:00Z</dcterms:created>
  <dcterms:modified xsi:type="dcterms:W3CDTF">2020-07-21T15:52:00Z</dcterms:modified>
</cp:coreProperties>
</file>